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hint="eastAsia" w:ascii="方正小标宋简体" w:hAnsi="宋体" w:eastAsia="方正小标宋简体"/>
          <w:color w:val="000000"/>
          <w:sz w:val="72"/>
          <w:szCs w:val="72"/>
          <w:lang w:eastAsia="zh-CN"/>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rPr>
      </w:pPr>
      <w:bookmarkStart w:id="1" w:name="_Toc15396597"/>
      <w:bookmarkStart w:id="2" w:name="_Toc15378441"/>
      <w:bookmarkStart w:id="3" w:name="_Toc15377193"/>
      <w:bookmarkStart w:id="4" w:name="_Toc15377425"/>
      <w:bookmarkStart w:id="5" w:name="_Toc15396475"/>
      <w:r>
        <w:rPr>
          <w:rFonts w:hint="eastAsia" w:ascii="方正小标宋简体" w:hAnsi="方正小标宋简体" w:eastAsia="方正小标宋简体" w:cs="方正小标宋简体"/>
          <w:color w:val="000000"/>
          <w:sz w:val="72"/>
          <w:szCs w:val="72"/>
        </w:rPr>
        <w:t>201</w:t>
      </w:r>
      <w:r>
        <w:rPr>
          <w:rFonts w:hint="eastAsia" w:ascii="方正小标宋简体" w:hAnsi="方正小标宋简体" w:eastAsia="方正小标宋简体" w:cs="方正小标宋简体"/>
          <w:color w:val="000000"/>
          <w:sz w:val="72"/>
          <w:szCs w:val="72"/>
          <w:lang w:val="en-US" w:eastAsia="zh-CN"/>
        </w:rPr>
        <w:t>9</w:t>
      </w:r>
      <w:r>
        <w:rPr>
          <w:rFonts w:hint="eastAsia" w:ascii="方正小标宋简体" w:hAnsi="方正小标宋简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426"/>
      <w:bookmarkStart w:id="7" w:name="_Toc15396476"/>
      <w:bookmarkStart w:id="8" w:name="_Toc15396598"/>
      <w:bookmarkStart w:id="9" w:name="_Toc15377194"/>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攀枝花市水利局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hint="eastAsia" w:ascii="方正小标宋简体" w:hAnsi="宋体" w:eastAsia="方正小标宋简体"/>
          <w:color w:val="000000"/>
          <w:sz w:val="52"/>
          <w:szCs w:val="52"/>
          <w:lang w:eastAsia="zh-CN"/>
        </w:rPr>
        <w:t>　</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公开时间：2020年9月21日</w:t>
      </w:r>
    </w:p>
    <w:p/>
    <w:p>
      <w:pPr>
        <w:pStyle w:val="11"/>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第一部分部门概况</w:t>
      </w:r>
      <w:r>
        <w:tab/>
      </w:r>
      <w:r>
        <w:rPr>
          <w:rFonts w:hint="default" w:ascii="Times New Roman" w:hAnsi="Times New Roman" w:cs="Times New Roman"/>
          <w:sz w:val="21"/>
          <w:szCs w:val="21"/>
        </w:rPr>
        <w:t>6</w:t>
      </w:r>
    </w:p>
    <w:p>
      <w:pPr>
        <w:pStyle w:val="12"/>
        <w:adjustRightInd w:val="0"/>
        <w:snapToGrid w:val="0"/>
        <w:spacing w:line="440" w:lineRule="exact"/>
        <w:jc w:val="left"/>
        <w:rPr>
          <w:rFonts w:hint="eastAsia" w:ascii="仿宋" w:hAnsi="仿宋" w:eastAsia="宋体"/>
          <w:sz w:val="24"/>
          <w:lang w:val="en-US" w:eastAsia="zh-CN"/>
        </w:rPr>
      </w:pPr>
      <w:r>
        <w:rPr>
          <w:rFonts w:hint="eastAsia"/>
          <w:sz w:val="24"/>
        </w:rPr>
        <w:t>一、基本职能及主要工作</w:t>
      </w:r>
      <w:r>
        <w:tab/>
      </w:r>
      <w:r>
        <w:rPr>
          <w:rFonts w:hint="default" w:ascii="Times New Roman" w:hAnsi="Times New Roman" w:eastAsia="仿宋_GB2312" w:cs="Times New Roman"/>
          <w:sz w:val="21"/>
          <w:szCs w:val="21"/>
          <w:lang w:val="en-US" w:eastAsia="zh-CN"/>
        </w:rPr>
        <w:t>4</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二、机构设置</w:t>
      </w:r>
      <w:r>
        <w:tab/>
      </w:r>
      <w:r>
        <w:rPr>
          <w:rFonts w:hint="eastAsia"/>
          <w:lang w:val="en-US" w:eastAsia="zh-CN"/>
        </w:rPr>
        <w:t>6</w:t>
      </w:r>
    </w:p>
    <w:p>
      <w:pPr>
        <w:pStyle w:val="11"/>
        <w:adjustRightInd w:val="0"/>
        <w:snapToGrid w:val="0"/>
        <w:spacing w:before="0" w:line="440" w:lineRule="exact"/>
        <w:jc w:val="left"/>
        <w:rPr>
          <w:rFonts w:hint="eastAsia" w:eastAsia="仿宋"/>
          <w:sz w:val="24"/>
          <w:szCs w:val="24"/>
          <w:lang w:val="en-US" w:eastAsia="zh-CN"/>
        </w:rPr>
      </w:pPr>
      <w:r>
        <w:rPr>
          <w:rFonts w:hint="eastAsia"/>
          <w:sz w:val="24"/>
        </w:rPr>
        <w:t>第二部分度部门决算情况说明</w:t>
      </w:r>
      <w:r>
        <w:tab/>
      </w:r>
      <w:r>
        <w:rPr>
          <w:rFonts w:hint="default" w:ascii="Times New Roman" w:hAnsi="Times New Roman" w:cs="Times New Roman"/>
          <w:sz w:val="21"/>
          <w:szCs w:val="21"/>
          <w:lang w:val="en-US" w:eastAsia="zh-CN"/>
        </w:rPr>
        <w:t>8</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tab/>
      </w:r>
      <w:r>
        <w:rPr>
          <w:rFonts w:hint="eastAsia"/>
          <w:lang w:val="en-US" w:eastAsia="zh-CN"/>
        </w:rPr>
        <w:t>8</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tab/>
      </w:r>
      <w:r>
        <w:rPr>
          <w:rFonts w:hint="eastAsia"/>
          <w:lang w:val="en-US" w:eastAsia="zh-CN"/>
        </w:rPr>
        <w:t>8</w:t>
      </w:r>
    </w:p>
    <w:p>
      <w:pPr>
        <w:pStyle w:val="12"/>
        <w:adjustRightInd w:val="0"/>
        <w:snapToGrid w:val="0"/>
        <w:spacing w:line="440" w:lineRule="exact"/>
        <w:jc w:val="left"/>
        <w:rPr>
          <w:rFonts w:hint="eastAsia" w:ascii="仿宋" w:hAnsi="仿宋" w:eastAsia="宋体" w:cstheme="minorBidi"/>
          <w:sz w:val="21"/>
          <w:szCs w:val="21"/>
          <w:lang w:val="en-US" w:eastAsia="zh-CN"/>
        </w:rPr>
      </w:pPr>
      <w:r>
        <w:rPr>
          <w:rFonts w:hint="eastAsia"/>
          <w:sz w:val="24"/>
        </w:rPr>
        <w:t>三、支出决算情况说明</w:t>
      </w:r>
      <w:r>
        <w:tab/>
      </w:r>
      <w:r>
        <w:rPr>
          <w:rFonts w:hint="eastAsia"/>
          <w:sz w:val="21"/>
          <w:szCs w:val="21"/>
          <w:lang w:val="en-US" w:eastAsia="zh-CN"/>
        </w:rPr>
        <w:t>9</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tab/>
      </w:r>
      <w:r>
        <w:rPr>
          <w:rFonts w:hint="eastAsia"/>
          <w:lang w:val="en-US" w:eastAsia="zh-CN"/>
        </w:rPr>
        <w:t>9</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tab/>
      </w:r>
      <w:r>
        <w:rPr>
          <w:rFonts w:hint="eastAsia"/>
          <w:lang w:val="en-US" w:eastAsia="zh-CN"/>
        </w:rPr>
        <w:t>10</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tab/>
      </w:r>
      <w:r>
        <w:rPr>
          <w:rFonts w:hint="eastAsia"/>
          <w:lang w:val="en-US" w:eastAsia="zh-CN"/>
        </w:rPr>
        <w:t>13</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tab/>
      </w:r>
      <w:r>
        <w:rPr>
          <w:rFonts w:hint="eastAsia"/>
          <w:lang w:val="en-US" w:eastAsia="zh-CN"/>
        </w:rPr>
        <w:t>14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tab/>
      </w:r>
      <w:r>
        <w:rPr>
          <w:rFonts w:hint="eastAsia"/>
          <w:lang w:val="en-US" w:eastAsia="zh-CN"/>
        </w:rPr>
        <w:t>16</w:t>
      </w:r>
    </w:p>
    <w:p>
      <w:pPr>
        <w:pStyle w:val="12"/>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国</w:t>
      </w:r>
      <w:r>
        <w:rPr>
          <w:rFonts w:hint="eastAsia"/>
          <w:sz w:val="24"/>
        </w:rPr>
        <w:t>有资本经营预算支出决算情况说明</w:t>
      </w:r>
      <w:r>
        <w:tab/>
      </w:r>
      <w:r>
        <w:rPr>
          <w:rFonts w:hint="eastAsia"/>
          <w:lang w:val="en-US" w:eastAsia="zh-CN"/>
        </w:rPr>
        <w:t>16</w:t>
      </w:r>
    </w:p>
    <w:p>
      <w:pPr>
        <w:adjustRightInd w:val="0"/>
        <w:snapToGrid w:val="0"/>
        <w:spacing w:line="440" w:lineRule="exact"/>
        <w:ind w:left="0" w:leftChars="0" w:firstLine="458" w:firstLineChars="191"/>
        <w:jc w:val="left"/>
        <w:rPr>
          <w:rFonts w:hint="default"/>
          <w:lang w:val="en-US"/>
        </w:rPr>
      </w:pPr>
      <w:r>
        <w:rPr>
          <w:rStyle w:val="16"/>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hint="eastAsia"/>
          <w:sz w:val="24"/>
          <w:lang w:val="en-US" w:eastAsia="zh-CN"/>
        </w:rPr>
        <w:t>............................................................................</w:t>
      </w:r>
      <w:r>
        <w:rPr>
          <w:rFonts w:hint="eastAsia"/>
          <w:sz w:val="21"/>
          <w:szCs w:val="21"/>
          <w:lang w:val="en-US" w:eastAsia="zh-CN"/>
        </w:rPr>
        <w:t>16</w:t>
      </w:r>
    </w:p>
    <w:p>
      <w:pPr>
        <w:adjustRightInd w:val="0"/>
        <w:snapToGrid w:val="0"/>
        <w:spacing w:line="440" w:lineRule="exact"/>
        <w:ind w:left="214" w:leftChars="0" w:hanging="214" w:hangingChars="89"/>
        <w:jc w:val="left"/>
        <w:rPr>
          <w:rFonts w:cstheme="minorBidi"/>
          <w:sz w:val="24"/>
          <w:szCs w:val="24"/>
        </w:rPr>
      </w:pPr>
      <w:r>
        <w:rPr>
          <w:rFonts w:hint="eastAsia"/>
          <w:b/>
          <w:bCs/>
          <w:sz w:val="24"/>
        </w:rPr>
        <w:t>第三部分名词解释</w:t>
      </w:r>
      <w:r>
        <w:tab/>
      </w:r>
      <w:r>
        <w:rPr>
          <w:rFonts w:hint="eastAsia"/>
          <w:lang w:val="en-US" w:eastAsia="zh-CN"/>
        </w:rPr>
        <w:t>.................................................................................................................26</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第四部分附件</w:t>
      </w:r>
      <w:r>
        <w:tab/>
      </w:r>
      <w:r>
        <w:rPr>
          <w:rFonts w:hint="default" w:ascii="Times New Roman" w:hAnsi="Times New Roman" w:cs="Times New Roman"/>
          <w:sz w:val="21"/>
          <w:szCs w:val="21"/>
          <w:lang w:val="en-US" w:eastAsia="zh-CN"/>
        </w:rPr>
        <w:t>31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tab/>
      </w:r>
      <w:r>
        <w:rPr>
          <w:rFonts w:hint="eastAsia"/>
          <w:lang w:val="en-US" w:eastAsia="zh-CN"/>
        </w:rPr>
        <w:t>31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2</w:t>
      </w:r>
      <w:r>
        <w:tab/>
      </w:r>
      <w:r>
        <w:rPr>
          <w:rFonts w:hint="eastAsia"/>
          <w:lang w:val="en-US" w:eastAsia="zh-CN"/>
        </w:rPr>
        <w:t>36</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第五部分附表</w:t>
      </w:r>
      <w:r>
        <w:tab/>
      </w:r>
      <w:r>
        <w:rPr>
          <w:rFonts w:hint="default" w:ascii="Times New Roman" w:hAnsi="Times New Roman" w:cs="Times New Roman"/>
          <w:sz w:val="21"/>
          <w:szCs w:val="21"/>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ascii="宋体" w:hAnsi="宋体" w:eastAsia="宋体" w:cs="宋体"/>
          <w:sz w:val="24"/>
        </w:rPr>
        <w:t>收入</w:t>
      </w:r>
      <w:r>
        <w:rPr>
          <w:rFonts w:hint="eastAsia" w:ascii="宋体" w:hAnsi="宋体" w:eastAsia="宋体" w:cs="宋体"/>
          <w:b w:val="0"/>
          <w:bCs w:val="0"/>
          <w:sz w:val="24"/>
        </w:rPr>
        <w:t>决算</w:t>
      </w:r>
      <w:r>
        <w:rPr>
          <w:rFonts w:hint="eastAsia" w:ascii="宋体" w:hAnsi="宋体" w:eastAsia="宋体" w:cs="宋体"/>
          <w:sz w:val="24"/>
        </w:rPr>
        <w:t>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宋体" w:hAnsi="宋体" w:eastAsia="宋体" w:cs="宋体"/>
          <w:sz w:val="24"/>
        </w:rPr>
        <w:t>决算</w:t>
      </w:r>
      <w:r>
        <w:rPr>
          <w:rFonts w:hint="eastAsia"/>
          <w:sz w:val="24"/>
        </w:rPr>
        <w:t>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tab/>
      </w:r>
      <w:r>
        <w:rPr>
          <w:rFonts w:hint="eastAsia"/>
          <w:lang w:val="en-US" w:eastAsia="zh-CN"/>
        </w:rPr>
        <w:t>41</w:t>
      </w:r>
    </w:p>
    <w:p>
      <w:pPr>
        <w:pStyle w:val="12"/>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五、财政拨款支出决算明细表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tab/>
      </w:r>
      <w:r>
        <w:rPr>
          <w:rFonts w:hint="eastAsia"/>
          <w:lang w:val="en-US" w:eastAsia="zh-CN"/>
        </w:rPr>
        <w:t>41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tab/>
      </w:r>
      <w:r>
        <w:rPr>
          <w:rFonts w:hint="eastAsia"/>
          <w:lang w:val="en-US" w:eastAsia="zh-CN"/>
        </w:rPr>
        <w:t>41</w:t>
      </w:r>
    </w:p>
    <w:p>
      <w:pPr>
        <w:widowControl/>
        <w:spacing w:line="440" w:lineRule="exact"/>
        <w:jc w:val="left"/>
        <w:rPr>
          <w:rFonts w:ascii="仿宋" w:hAnsi="仿宋" w:eastAsia="仿宋"/>
          <w:bCs/>
          <w:kern w:val="44"/>
          <w:sz w:val="24"/>
        </w:rPr>
      </w:pPr>
      <w:bookmarkStart w:id="12" w:name="_Toc15396599"/>
      <w:bookmarkStart w:id="13" w:name="_Toc15377196"/>
      <w:r>
        <w:rPr>
          <w:rFonts w:hint="eastAsia" w:ascii="仿宋" w:hAnsi="仿宋" w:eastAsia="仿宋"/>
          <w:color w:val="FF0000"/>
          <w:sz w:val="24"/>
          <w:lang w:val="en-US" w:eastAsia="zh-CN"/>
        </w:rPr>
        <w:t xml:space="preserve"> </w:t>
      </w:r>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第一部分</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pageBreakBefore w:val="0"/>
        <w:kinsoku/>
        <w:wordWrap/>
        <w:overflowPunct/>
        <w:topLinePunct w:val="0"/>
        <w:autoSpaceDE/>
        <w:autoSpaceDN/>
        <w:bidi w:val="0"/>
        <w:spacing w:line="353" w:lineRule="auto"/>
        <w:textAlignment w:val="auto"/>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pageBreakBefore w:val="0"/>
        <w:kinsoku/>
        <w:wordWrap/>
        <w:overflowPunct/>
        <w:topLinePunct w:val="0"/>
        <w:autoSpaceDE/>
        <w:autoSpaceDN/>
        <w:bidi w:val="0"/>
        <w:adjustRightInd w:val="0"/>
        <w:snapToGrid w:val="0"/>
        <w:spacing w:before="93" w:line="353" w:lineRule="auto"/>
        <w:ind w:firstLine="672" w:firstLineChars="210"/>
        <w:textAlignment w:val="auto"/>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1.贯彻执行国家和省有关水行政管理工作的方针、政策和法律、法规。负责保障水资源的合理开发利用；负责全市水利、水土保持、地方小水电行政管理的制度建设，拟订政策和发展规划。组织编制全市重要江河湖库的流域综合规划、水资源保护和水源地保护规划、节约用水、防洪规划等重要水利规划，组织有关全市国民经济总体规划、城乡规划、重大建设项目中涉及水利方面的论证工作。</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负责全市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防洪论证制度。负责全市水资源保护工作，指导饮用水水源保护工作；负责拟定全市节约用水政策和指导节水工作。</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3.负责组织实施水利、水土保持、地方小水电的法律法规及执法工作；调处县（区）之间的重大水事纠纷；负责有关行政复议和行政诉讼应诉工作。</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4.负责全市水土保持工作。拟订水土保持规划并监督实施，负责全市水土流失综合治理及监测工作；负责权限范围内开发建设项目水土保持方案的审批、实施、监督工作。</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5.负责地方小水电行业管理工作。负责全市小水电建设项目涉水事务的监督管理。</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6.负责全市江河的综合开发与管理工作。负责全市河道、水库、湖泊、河口滩涂的行政管理及河道管护范围内砂石资源等的开发、利用和保护；负责对占用河道、河堤通道设施（包括临时设施）等行为的行政监督管理工作。</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7.指导农村水利工作。参与协调农田水利基本建设，指导农村饮水安全等工程建设与管理工作，指导农村水利社会化服务体系建设；按规定指导农村水能资源开发工作，指导水电农村电气化和小水电代燃料工作。</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8.指导全市水利发展和水利行业劳动保护、科技推广、安全生产工作。</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9.负责防治水旱灾害，组织、协调、监督、指导全市防洪抢险及抗旱工作。编制全市防汛抗旱应急预案并组织实施，指导水利突发公共事件应急管理工作。</w:t>
      </w:r>
    </w:p>
    <w:p>
      <w:pPr>
        <w:keepNext w:val="0"/>
        <w:keepLines w:val="0"/>
        <w:pageBreakBefore w:val="0"/>
        <w:kinsoku/>
        <w:wordWrap/>
        <w:overflowPunct/>
        <w:topLinePunct w:val="0"/>
        <w:autoSpaceDE/>
        <w:autoSpaceDN/>
        <w:bidi w:val="0"/>
        <w:adjustRightInd/>
        <w:snapToGrid w:val="0"/>
        <w:spacing w:line="353" w:lineRule="auto"/>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10.承担市政府公布的有关行政审批事项。</w:t>
      </w:r>
    </w:p>
    <w:p>
      <w:pPr>
        <w:pageBreakBefore w:val="0"/>
        <w:widowControl w:val="0"/>
        <w:kinsoku/>
        <w:wordWrap/>
        <w:overflowPunct/>
        <w:topLinePunct w:val="0"/>
        <w:autoSpaceDE/>
        <w:autoSpaceDN/>
        <w:bidi w:val="0"/>
        <w:adjustRightInd/>
        <w:snapToGrid w:val="0"/>
        <w:spacing w:line="353" w:lineRule="auto"/>
        <w:ind w:firstLine="640" w:firstLineChars="200"/>
        <w:textAlignment w:val="auto"/>
        <w:rPr>
          <w:rFonts w:hint="eastAsia" w:ascii="仿宋_GB2312" w:hAnsi="仿宋" w:eastAsia="仿宋_GB2312"/>
          <w:sz w:val="32"/>
          <w:szCs w:val="32"/>
        </w:rPr>
      </w:pPr>
      <w:r>
        <w:rPr>
          <w:rFonts w:hint="eastAsia" w:ascii="仿宋_GB2312" w:hAnsi="仿宋" w:eastAsia="仿宋_GB2312"/>
          <w:color w:val="000000"/>
          <w:sz w:val="32"/>
          <w:szCs w:val="32"/>
          <w:lang w:val="en-US" w:eastAsia="zh-CN"/>
        </w:rPr>
        <w:t>11.承办市政府交办的其他事项。</w:t>
      </w:r>
    </w:p>
    <w:bookmarkEnd w:id="16"/>
    <w:bookmarkEnd w:id="17"/>
    <w:p>
      <w:pPr>
        <w:pStyle w:val="5"/>
        <w:pageBreakBefore w:val="0"/>
        <w:kinsoku/>
        <w:wordWrap/>
        <w:overflowPunct/>
        <w:topLinePunct w:val="0"/>
        <w:autoSpaceDE/>
        <w:autoSpaceDN/>
        <w:bidi w:val="0"/>
        <w:adjustRightInd w:val="0"/>
        <w:snapToGrid w:val="0"/>
        <w:spacing w:before="93" w:line="353" w:lineRule="auto"/>
        <w:ind w:left="0" w:leftChars="0" w:firstLine="419" w:firstLineChars="131"/>
        <w:textAlignment w:val="auto"/>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353" w:lineRule="auto"/>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2019年，在市委、市政府的正确领导下，全市水利系统紧紧围绕市委“一二三五”工作思路，对照年度目标任务，系统谋划、精心组织、攻坚克难，较好地完成了工作任务</w:t>
      </w:r>
      <w:r>
        <w:rPr>
          <w:rFonts w:hint="eastAsia" w:ascii="仿宋_GB2312" w:hAnsi="仿宋_GB2312" w:eastAsia="仿宋_GB2312" w:cs="仿宋_GB2312"/>
          <w:b w:val="0"/>
          <w:bCs w:val="0"/>
          <w:color w:val="auto"/>
          <w:sz w:val="32"/>
          <w:szCs w:val="32"/>
          <w:highlight w:val="none"/>
          <w:lang w:eastAsia="zh-CN"/>
        </w:rPr>
        <w:t>。</w:t>
      </w:r>
    </w:p>
    <w:p>
      <w:pPr>
        <w:pageBreakBefore w:val="0"/>
        <w:numPr>
          <w:ilvl w:val="0"/>
          <w:numId w:val="0"/>
        </w:numPr>
        <w:kinsoku/>
        <w:wordWrap/>
        <w:overflowPunct/>
        <w:topLinePunct w:val="0"/>
        <w:autoSpaceDE/>
        <w:autoSpaceDN/>
        <w:bidi w:val="0"/>
        <w:snapToGrid w:val="0"/>
        <w:spacing w:line="353" w:lineRule="auto"/>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防汛抗旱措施有力</w:t>
      </w:r>
      <w:r>
        <w:rPr>
          <w:rFonts w:hint="eastAsia" w:ascii="仿宋_GB2312" w:hAnsi="仿宋_GB2312" w:eastAsia="仿宋_GB2312" w:cs="仿宋_GB2312"/>
          <w:b w:val="0"/>
          <w:bCs w:val="0"/>
          <w:color w:val="auto"/>
          <w:sz w:val="32"/>
          <w:szCs w:val="32"/>
          <w:highlight w:val="none"/>
          <w:lang w:eastAsia="zh-CN"/>
        </w:rPr>
        <w:t>：一是抗旱减损</w:t>
      </w:r>
      <w:r>
        <w:rPr>
          <w:rFonts w:hint="eastAsia" w:ascii="仿宋_GB2312" w:hAnsi="仿宋_GB2312" w:eastAsia="仿宋_GB2312" w:cs="仿宋_GB2312"/>
          <w:b w:val="0"/>
          <w:bCs w:val="0"/>
          <w:color w:val="auto"/>
          <w:sz w:val="32"/>
          <w:szCs w:val="32"/>
          <w:highlight w:val="none"/>
        </w:rPr>
        <w:t>有效应对“四连旱”</w:t>
      </w:r>
      <w:r>
        <w:rPr>
          <w:rFonts w:hint="eastAsia" w:ascii="仿宋_GB2312" w:hAnsi="仿宋_GB2312" w:eastAsia="仿宋_GB2312" w:cs="仿宋_GB2312"/>
          <w:b w:val="0"/>
          <w:bCs w:val="0"/>
          <w:color w:val="auto"/>
          <w:sz w:val="32"/>
          <w:szCs w:val="32"/>
          <w:highlight w:val="none"/>
          <w:lang w:eastAsia="zh-CN"/>
        </w:rPr>
        <w:t>；二是防汛减灾责任落实实现“零”伤亡。</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河湖管理更加精细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水资源管理能力提升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eastAsia="zh-CN"/>
        </w:rPr>
        <w:t>水生态保护落实到位：</w:t>
      </w: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rPr>
        <w:t>全面落实生态环境保护“一岗双责”</w:t>
      </w:r>
      <w:r>
        <w:rPr>
          <w:rFonts w:hint="eastAsia" w:ascii="仿宋_GB2312" w:hAnsi="仿宋_GB2312" w:eastAsia="仿宋_GB2312" w:cs="仿宋_GB2312"/>
          <w:b w:val="0"/>
          <w:bCs w:val="0"/>
          <w:color w:val="auto"/>
          <w:sz w:val="32"/>
          <w:szCs w:val="32"/>
          <w:highlight w:val="none"/>
          <w:lang w:eastAsia="zh-CN"/>
        </w:rPr>
        <w:t>；二是</w:t>
      </w:r>
      <w:r>
        <w:rPr>
          <w:rFonts w:hint="eastAsia" w:ascii="仿宋_GB2312" w:hAnsi="仿宋_GB2312" w:eastAsia="仿宋_GB2312" w:cs="仿宋_GB2312"/>
          <w:b w:val="0"/>
          <w:bCs w:val="0"/>
          <w:color w:val="auto"/>
          <w:sz w:val="32"/>
          <w:szCs w:val="32"/>
          <w:highlight w:val="none"/>
        </w:rPr>
        <w:t>积极推进水电站下泄生态流量问题整改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三是统筹抓好共抓长江大保护各项工作。5.</w:t>
      </w:r>
      <w:r>
        <w:rPr>
          <w:rFonts w:hint="eastAsia" w:ascii="仿宋_GB2312" w:hAnsi="仿宋_GB2312" w:eastAsia="仿宋_GB2312" w:cs="仿宋_GB2312"/>
          <w:b w:val="0"/>
          <w:bCs w:val="0"/>
          <w:color w:val="auto"/>
          <w:sz w:val="32"/>
          <w:szCs w:val="32"/>
          <w:highlight w:val="none"/>
        </w:rPr>
        <w:t>水利建设成效显现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bidi="ar-SA"/>
        </w:rPr>
        <w:t>一是争取中央、省级以上水利发展资金8041万元。二是重点工程推进有力。三是灾后薄弱环节病险水库除险加固及中小河流防洪治理项目进展顺利。四是农田水利惠民富民。五是不断加快推进饮水安全工程建设，建设完成省水利厅下达2019年农村饮水安全巩固提升工程目标任务。</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水土保持强监管、补短板。</w:t>
      </w: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lang w:eastAsia="zh-CN"/>
        </w:rPr>
        <w:t>水利脱贫持续给力</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lang w:eastAsia="zh-CN"/>
        </w:rPr>
        <w:t>安全生产平稳向好。</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rPr>
        <w:t>水利改革稳步推进</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rPr>
        <w:t>党</w:t>
      </w:r>
      <w:r>
        <w:rPr>
          <w:rFonts w:hint="eastAsia" w:ascii="仿宋_GB2312" w:hAnsi="仿宋_GB2312" w:eastAsia="仿宋_GB2312" w:cs="仿宋_GB2312"/>
          <w:b w:val="0"/>
          <w:bCs w:val="0"/>
          <w:color w:val="auto"/>
          <w:sz w:val="32"/>
          <w:szCs w:val="32"/>
          <w:highlight w:val="none"/>
          <w:lang w:eastAsia="zh-CN"/>
        </w:rPr>
        <w:t>的建设持续加强</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一是进一步强化理论武装，厚实了理论素养；二是进一步坚定理想信念，提高了政治觉悟；</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是进一步推动解放思想，增强了担当精神；四是进一步践行为民情怀，强化了服务意识。</w:t>
      </w:r>
    </w:p>
    <w:p>
      <w:pPr>
        <w:pStyle w:val="3"/>
        <w:pageBreakBefore w:val="0"/>
        <w:kinsoku/>
        <w:wordWrap/>
        <w:overflowPunct/>
        <w:topLinePunct w:val="0"/>
        <w:autoSpaceDE/>
        <w:autoSpaceDN/>
        <w:bidi w:val="0"/>
        <w:spacing w:line="353" w:lineRule="auto"/>
        <w:textAlignment w:val="auto"/>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ageBreakBefore w:val="0"/>
        <w:kinsoku/>
        <w:wordWrap/>
        <w:overflowPunct/>
        <w:topLinePunct w:val="0"/>
        <w:autoSpaceDE/>
        <w:autoSpaceDN/>
        <w:bidi w:val="0"/>
        <w:spacing w:line="353" w:lineRule="auto"/>
        <w:ind w:left="0" w:leftChars="0"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攀枝花市水利局</w:t>
      </w:r>
      <w:r>
        <w:rPr>
          <w:rFonts w:hint="eastAsia" w:ascii="宋体" w:hAnsi="宋体" w:eastAsia="宋体" w:cs="宋体"/>
          <w:b/>
          <w:bCs/>
          <w:sz w:val="32"/>
          <w:szCs w:val="32"/>
        </w:rPr>
        <w:t>下属二级单位</w:t>
      </w:r>
      <w:r>
        <w:rPr>
          <w:rFonts w:hint="eastAsia" w:ascii="宋体" w:hAnsi="宋体" w:cs="宋体"/>
          <w:b/>
          <w:bCs/>
          <w:sz w:val="32"/>
          <w:szCs w:val="32"/>
          <w:lang w:val="en-US" w:eastAsia="zh-CN"/>
        </w:rPr>
        <w:t>6</w:t>
      </w:r>
      <w:r>
        <w:rPr>
          <w:rFonts w:hint="eastAsia" w:ascii="宋体" w:hAnsi="宋体" w:eastAsia="宋体" w:cs="宋体"/>
          <w:b/>
          <w:bCs/>
          <w:sz w:val="32"/>
          <w:szCs w:val="32"/>
        </w:rPr>
        <w:t>个，其中行政单位</w:t>
      </w: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个，参照公务员法管理的事业单位</w:t>
      </w: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个，其他事业单位</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个。</w:t>
      </w:r>
    </w:p>
    <w:p>
      <w:pPr>
        <w:pStyle w:val="5"/>
        <w:pageBreakBefore w:val="0"/>
        <w:kinsoku/>
        <w:wordWrap/>
        <w:overflowPunct/>
        <w:topLinePunct w:val="0"/>
        <w:autoSpaceDE/>
        <w:autoSpaceDN/>
        <w:bidi w:val="0"/>
        <w:adjustRightInd w:val="0"/>
        <w:snapToGrid w:val="0"/>
        <w:spacing w:before="93" w:line="353" w:lineRule="auto"/>
        <w:ind w:firstLine="675" w:firstLineChars="21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纳入</w:t>
      </w:r>
      <w:r>
        <w:rPr>
          <w:rFonts w:hint="eastAsia" w:ascii="宋体" w:hAnsi="宋体" w:eastAsia="宋体" w:cs="宋体"/>
          <w:b/>
          <w:bCs/>
          <w:sz w:val="32"/>
          <w:szCs w:val="32"/>
          <w:lang w:eastAsia="zh-CN"/>
        </w:rPr>
        <w:t>攀枝花市水利局</w:t>
      </w:r>
      <w:r>
        <w:rPr>
          <w:rFonts w:hint="eastAsia" w:ascii="宋体" w:hAnsi="宋体" w:eastAsia="宋体" w:cs="宋体"/>
          <w:b/>
          <w:bCs/>
          <w:color w:val="000000"/>
          <w:sz w:val="32"/>
          <w:szCs w:val="32"/>
        </w:rPr>
        <w:t>2019年度部门决算编制范围的二级预算单位包括：</w:t>
      </w:r>
    </w:p>
    <w:p>
      <w:pPr>
        <w:pStyle w:val="5"/>
        <w:pageBreakBefore w:val="0"/>
        <w:numPr>
          <w:ilvl w:val="0"/>
          <w:numId w:val="1"/>
        </w:numPr>
        <w:kinsoku/>
        <w:wordWrap/>
        <w:overflowPunct/>
        <w:topLinePunct w:val="0"/>
        <w:autoSpaceDE/>
        <w:autoSpaceDN/>
        <w:bidi w:val="0"/>
        <w:adjustRightInd w:val="0"/>
        <w:snapToGrid w:val="0"/>
        <w:spacing w:before="93" w:line="353" w:lineRule="auto"/>
        <w:textAlignment w:val="auto"/>
        <w:outlineLvl w:val="2"/>
        <w:rPr>
          <w:rFonts w:ascii="仿宋" w:hAnsi="仿宋" w:eastAsia="仿宋"/>
          <w:color w:val="000000"/>
          <w:sz w:val="32"/>
          <w:szCs w:val="32"/>
        </w:rPr>
      </w:pPr>
      <w:bookmarkStart w:id="22" w:name="_Toc15306276"/>
      <w:bookmarkStart w:id="23" w:name="_Toc15377433"/>
      <w:bookmarkStart w:id="24" w:name="_Toc15377202"/>
      <w:bookmarkStart w:id="25" w:name="_Toc15378449"/>
      <w:r>
        <w:rPr>
          <w:rFonts w:hint="eastAsia" w:ascii="仿宋" w:hAnsi="仿宋" w:eastAsia="仿宋"/>
          <w:color w:val="000000"/>
          <w:sz w:val="32"/>
          <w:szCs w:val="32"/>
        </w:rPr>
        <w:t>攀枝花市水利局</w:t>
      </w:r>
      <w:bookmarkEnd w:id="22"/>
      <w:bookmarkEnd w:id="23"/>
      <w:bookmarkEnd w:id="24"/>
      <w:bookmarkEnd w:id="25"/>
      <w:r>
        <w:rPr>
          <w:rFonts w:hint="eastAsia" w:ascii="仿宋" w:hAnsi="仿宋" w:eastAsia="仿宋"/>
          <w:color w:val="000000"/>
          <w:sz w:val="32"/>
          <w:szCs w:val="32"/>
          <w:lang w:eastAsia="zh-CN"/>
        </w:rPr>
        <w:t>机关</w:t>
      </w:r>
    </w:p>
    <w:p>
      <w:pPr>
        <w:pStyle w:val="5"/>
        <w:pageBreakBefore w:val="0"/>
        <w:numPr>
          <w:ilvl w:val="0"/>
          <w:numId w:val="1"/>
        </w:numPr>
        <w:kinsoku/>
        <w:wordWrap/>
        <w:overflowPunct/>
        <w:topLinePunct w:val="0"/>
        <w:autoSpaceDE/>
        <w:autoSpaceDN/>
        <w:bidi w:val="0"/>
        <w:adjustRightInd w:val="0"/>
        <w:snapToGrid w:val="0"/>
        <w:spacing w:before="93" w:line="353" w:lineRule="auto"/>
        <w:textAlignment w:val="auto"/>
        <w:outlineLvl w:val="2"/>
        <w:rPr>
          <w:rFonts w:ascii="仿宋" w:hAnsi="仿宋" w:eastAsia="仿宋"/>
          <w:color w:val="000000"/>
          <w:sz w:val="32"/>
          <w:szCs w:val="32"/>
        </w:rPr>
      </w:pPr>
      <w:r>
        <w:rPr>
          <w:rFonts w:hint="eastAsia" w:ascii="仿宋" w:hAnsi="仿宋" w:eastAsia="仿宋"/>
          <w:color w:val="000000"/>
          <w:sz w:val="32"/>
          <w:szCs w:val="32"/>
          <w:lang w:eastAsia="zh-CN"/>
        </w:rPr>
        <w:t>攀枝花市水政监察执法支队</w:t>
      </w:r>
    </w:p>
    <w:p>
      <w:pPr>
        <w:pStyle w:val="5"/>
        <w:pageBreakBefore w:val="0"/>
        <w:numPr>
          <w:ilvl w:val="0"/>
          <w:numId w:val="1"/>
        </w:numPr>
        <w:kinsoku/>
        <w:wordWrap/>
        <w:overflowPunct/>
        <w:topLinePunct w:val="0"/>
        <w:autoSpaceDE/>
        <w:autoSpaceDN/>
        <w:bidi w:val="0"/>
        <w:adjustRightInd w:val="0"/>
        <w:snapToGrid w:val="0"/>
        <w:spacing w:before="93" w:line="353" w:lineRule="auto"/>
        <w:textAlignment w:val="auto"/>
        <w:outlineLvl w:val="2"/>
        <w:rPr>
          <w:rFonts w:ascii="仿宋" w:hAnsi="仿宋" w:eastAsia="仿宋"/>
          <w:color w:val="000000"/>
          <w:sz w:val="32"/>
          <w:szCs w:val="32"/>
        </w:rPr>
      </w:pPr>
      <w:r>
        <w:rPr>
          <w:rFonts w:hint="eastAsia" w:ascii="仿宋" w:hAnsi="仿宋" w:eastAsia="仿宋"/>
          <w:color w:val="000000"/>
          <w:sz w:val="32"/>
          <w:szCs w:val="32"/>
          <w:lang w:eastAsia="zh-CN"/>
        </w:rPr>
        <w:t>攀枝花市水资源河湖保护中心</w:t>
      </w:r>
    </w:p>
    <w:p>
      <w:pPr>
        <w:pStyle w:val="5"/>
        <w:pageBreakBefore w:val="0"/>
        <w:numPr>
          <w:ilvl w:val="0"/>
          <w:numId w:val="1"/>
        </w:numPr>
        <w:kinsoku/>
        <w:wordWrap/>
        <w:overflowPunct/>
        <w:topLinePunct w:val="0"/>
        <w:autoSpaceDE/>
        <w:autoSpaceDN/>
        <w:bidi w:val="0"/>
        <w:adjustRightInd w:val="0"/>
        <w:snapToGrid w:val="0"/>
        <w:spacing w:before="93" w:line="353" w:lineRule="auto"/>
        <w:textAlignment w:val="auto"/>
        <w:outlineLvl w:val="2"/>
        <w:rPr>
          <w:rFonts w:ascii="仿宋" w:hAnsi="仿宋" w:eastAsia="仿宋"/>
          <w:color w:val="000000"/>
          <w:sz w:val="32"/>
          <w:szCs w:val="32"/>
        </w:rPr>
      </w:pPr>
      <w:bookmarkStart w:id="26" w:name="_Toc15377203"/>
      <w:bookmarkStart w:id="27" w:name="_Toc15306277"/>
      <w:bookmarkStart w:id="28" w:name="_Toc15377434"/>
      <w:bookmarkStart w:id="29" w:name="_Toc15378450"/>
      <w:r>
        <w:rPr>
          <w:rFonts w:hint="eastAsia" w:ascii="仿宋" w:hAnsi="仿宋" w:eastAsia="仿宋"/>
          <w:color w:val="000000"/>
          <w:sz w:val="32"/>
          <w:szCs w:val="32"/>
        </w:rPr>
        <w:t>攀枝花市水土保持生态环境监测分站</w:t>
      </w:r>
    </w:p>
    <w:p>
      <w:pPr>
        <w:pStyle w:val="5"/>
        <w:pageBreakBefore w:val="0"/>
        <w:numPr>
          <w:ilvl w:val="0"/>
          <w:numId w:val="1"/>
        </w:numPr>
        <w:kinsoku/>
        <w:wordWrap/>
        <w:overflowPunct/>
        <w:topLinePunct w:val="0"/>
        <w:autoSpaceDE/>
        <w:autoSpaceDN/>
        <w:bidi w:val="0"/>
        <w:adjustRightInd w:val="0"/>
        <w:snapToGrid w:val="0"/>
        <w:spacing w:before="93" w:line="353" w:lineRule="auto"/>
        <w:textAlignment w:val="auto"/>
        <w:outlineLvl w:val="2"/>
        <w:rPr>
          <w:rFonts w:ascii="仿宋" w:hAnsi="仿宋" w:eastAsia="仿宋"/>
          <w:color w:val="000000"/>
          <w:sz w:val="32"/>
          <w:szCs w:val="32"/>
        </w:rPr>
      </w:pPr>
      <w:r>
        <w:rPr>
          <w:rFonts w:hint="eastAsia" w:ascii="仿宋" w:hAnsi="仿宋" w:eastAsia="仿宋"/>
          <w:color w:val="000000"/>
          <w:sz w:val="32"/>
          <w:szCs w:val="32"/>
        </w:rPr>
        <w:t>攀枝花市水利水电勘测设计院</w:t>
      </w:r>
    </w:p>
    <w:p>
      <w:pPr>
        <w:pStyle w:val="5"/>
        <w:pageBreakBefore w:val="0"/>
        <w:numPr>
          <w:ilvl w:val="0"/>
          <w:numId w:val="1"/>
        </w:numPr>
        <w:kinsoku/>
        <w:wordWrap/>
        <w:overflowPunct/>
        <w:topLinePunct w:val="0"/>
        <w:autoSpaceDE/>
        <w:autoSpaceDN/>
        <w:bidi w:val="0"/>
        <w:adjustRightInd w:val="0"/>
        <w:snapToGrid w:val="0"/>
        <w:spacing w:before="93" w:line="353" w:lineRule="auto"/>
        <w:textAlignment w:val="auto"/>
        <w:outlineLvl w:val="2"/>
        <w:rPr>
          <w:rFonts w:ascii="仿宋" w:hAnsi="仿宋" w:eastAsia="仿宋"/>
          <w:color w:val="000000"/>
          <w:sz w:val="32"/>
          <w:szCs w:val="32"/>
        </w:rPr>
      </w:pPr>
      <w:r>
        <w:rPr>
          <w:rFonts w:hint="eastAsia" w:ascii="仿宋" w:hAnsi="仿宋" w:eastAsia="仿宋"/>
          <w:color w:val="000000"/>
          <w:sz w:val="32"/>
          <w:szCs w:val="32"/>
        </w:rPr>
        <w:t>攀枝花市胜利水利工程运行中心</w:t>
      </w:r>
      <w:bookmarkEnd w:id="26"/>
      <w:bookmarkEnd w:id="27"/>
      <w:bookmarkEnd w:id="28"/>
      <w:bookmarkEnd w:id="29"/>
    </w:p>
    <w:p>
      <w:pPr>
        <w:pageBreakBefore w:val="0"/>
        <w:widowControl/>
        <w:kinsoku/>
        <w:wordWrap/>
        <w:overflowPunct/>
        <w:topLinePunct w:val="0"/>
        <w:autoSpaceDE/>
        <w:autoSpaceDN/>
        <w:bidi w:val="0"/>
        <w:spacing w:line="353" w:lineRule="auto"/>
        <w:jc w:val="left"/>
        <w:textAlignment w:val="auto"/>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30" w:name="_Toc15396602"/>
      <w:bookmarkStart w:id="31" w:name="_Toc15377204"/>
      <w:r>
        <w:rPr>
          <w:rFonts w:hint="eastAsia" w:ascii="黑体" w:hAnsi="黑体" w:eastAsia="黑体"/>
          <w:b w:val="0"/>
          <w:color w:val="000000"/>
        </w:rPr>
        <w:t>第二部分</w:t>
      </w:r>
      <w:r>
        <w:rPr>
          <w:rStyle w:val="25"/>
          <w:rFonts w:hint="eastAsia" w:ascii="黑体" w:hAnsi="黑体" w:eastAsia="黑体"/>
          <w:b w:val="0"/>
          <w:bCs w:val="0"/>
        </w:rPr>
        <w:t>2019年度部门决算情况说明</w:t>
      </w:r>
      <w:bookmarkEnd w:id="30"/>
      <w:bookmarkEnd w:id="31"/>
    </w:p>
    <w:p/>
    <w:p>
      <w:pPr>
        <w:pStyle w:val="24"/>
        <w:numPr>
          <w:ilvl w:val="0"/>
          <w:numId w:val="2"/>
        </w:numPr>
        <w:spacing w:line="600" w:lineRule="exact"/>
        <w:ind w:firstLineChars="0"/>
        <w:outlineLvl w:val="1"/>
        <w:rPr>
          <w:rStyle w:val="26"/>
          <w:rFonts w:ascii="黑体" w:hAnsi="黑体" w:eastAsia="黑体"/>
          <w:b w:val="0"/>
        </w:rPr>
      </w:pPr>
      <w:bookmarkStart w:id="32" w:name="_Toc15377205"/>
      <w:bookmarkStart w:id="33"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32"/>
      <w:bookmarkEnd w:id="33"/>
    </w:p>
    <w:p>
      <w:pPr>
        <w:spacing w:line="600" w:lineRule="exact"/>
        <w:ind w:firstLine="640" w:firstLineChars="200"/>
        <w:rPr>
          <w:rFonts w:hint="default" w:ascii="仿宋_GB2312" w:hAnsi="仿宋_GB2312" w:eastAsia="仿宋_GB2312" w:cs="仿宋_GB2312"/>
          <w:b/>
          <w:bCs/>
          <w:color w:val="000000"/>
          <w:sz w:val="32"/>
          <w:szCs w:val="32"/>
          <w:lang w:val="en-US" w:eastAsia="zh-CN"/>
        </w:rPr>
      </w:pPr>
      <w:r>
        <w:rPr>
          <w:rFonts w:hint="eastAsia" w:ascii="仿宋" w:hAnsi="仿宋" w:eastAsia="仿宋"/>
          <w:b w:val="0"/>
          <w:bCs w:val="0"/>
          <w:color w:val="000000"/>
          <w:sz w:val="32"/>
          <w:szCs w:val="32"/>
        </w:rPr>
        <w:t>2019年度收、支总计</w:t>
      </w:r>
      <w:r>
        <w:rPr>
          <w:rFonts w:hint="eastAsia" w:ascii="仿宋" w:hAnsi="仿宋" w:eastAsia="仿宋"/>
          <w:b w:val="0"/>
          <w:bCs w:val="0"/>
          <w:color w:val="000000"/>
          <w:sz w:val="32"/>
          <w:szCs w:val="32"/>
          <w:lang w:val="en-US" w:eastAsia="zh-CN"/>
        </w:rPr>
        <w:t>4265.15</w:t>
      </w:r>
      <w:r>
        <w:rPr>
          <w:rFonts w:hint="eastAsia" w:ascii="仿宋" w:hAnsi="仿宋" w:eastAsia="仿宋"/>
          <w:b w:val="0"/>
          <w:bCs w:val="0"/>
          <w:color w:val="000000"/>
          <w:sz w:val="32"/>
          <w:szCs w:val="32"/>
        </w:rPr>
        <w:t>万元。与2018年相比，收、支总计各减少</w:t>
      </w:r>
      <w:r>
        <w:rPr>
          <w:rFonts w:hint="eastAsia" w:ascii="仿宋" w:hAnsi="仿宋" w:eastAsia="仿宋"/>
          <w:b w:val="0"/>
          <w:bCs w:val="0"/>
          <w:color w:val="000000"/>
          <w:sz w:val="32"/>
          <w:szCs w:val="32"/>
          <w:lang w:val="en-US" w:eastAsia="zh-CN"/>
        </w:rPr>
        <w:t>180.44</w:t>
      </w:r>
      <w:r>
        <w:rPr>
          <w:rFonts w:hint="eastAsia" w:ascii="仿宋" w:hAnsi="仿宋" w:eastAsia="仿宋"/>
          <w:b w:val="0"/>
          <w:bCs w:val="0"/>
          <w:color w:val="000000"/>
          <w:sz w:val="32"/>
          <w:szCs w:val="32"/>
        </w:rPr>
        <w:t>万元，下降</w:t>
      </w:r>
      <w:r>
        <w:rPr>
          <w:rFonts w:hint="eastAsia" w:ascii="仿宋" w:hAnsi="仿宋" w:eastAsia="仿宋"/>
          <w:b w:val="0"/>
          <w:bCs w:val="0"/>
          <w:color w:val="000000"/>
          <w:sz w:val="32"/>
          <w:szCs w:val="32"/>
          <w:lang w:val="en-US" w:eastAsia="zh-CN"/>
        </w:rPr>
        <w:t>4.06</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。主要变动原因是</w:t>
      </w:r>
      <w:r>
        <w:rPr>
          <w:rFonts w:hint="eastAsia" w:ascii="仿宋_GB2312" w:hAnsi="仿宋_GB2312" w:eastAsia="仿宋_GB2312" w:cs="仿宋_GB2312"/>
          <w:b/>
          <w:bCs/>
          <w:color w:val="000000"/>
          <w:sz w:val="32"/>
          <w:szCs w:val="32"/>
          <w:lang w:eastAsia="zh-CN"/>
        </w:rPr>
        <w:t>一般性公用支出继续压减，</w:t>
      </w:r>
      <w:r>
        <w:rPr>
          <w:rFonts w:hint="eastAsia" w:ascii="仿宋_GB2312" w:hAnsi="仿宋_GB2312" w:eastAsia="仿宋_GB2312" w:cs="仿宋_GB2312"/>
          <w:b/>
          <w:bCs/>
          <w:color w:val="000000"/>
          <w:sz w:val="32"/>
          <w:szCs w:val="32"/>
          <w:lang w:val="en-US" w:eastAsia="zh-CN"/>
        </w:rPr>
        <w:t>2019年中小河流水文监测系统建设项目资金结余较2018年减少。</w:t>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r>
        <w:rPr>
          <w:rFonts w:hint="eastAsia" w:ascii="仿宋" w:hAnsi="仿宋" w:eastAsia="仿宋"/>
          <w:color w:val="FF0000"/>
          <w:sz w:val="32"/>
          <w:szCs w:val="32"/>
          <w:lang w:val="en-US" w:eastAsia="zh-CN"/>
        </w:rPr>
        <w:t xml:space="preserve"> </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column">
              <wp:posOffset>175895</wp:posOffset>
            </wp:positionH>
            <wp:positionV relativeFrom="paragraph">
              <wp:posOffset>42545</wp:posOffset>
            </wp:positionV>
            <wp:extent cx="4441825" cy="2705100"/>
            <wp:effectExtent l="4445" t="4445" r="11430" b="1460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sz w:val="32"/>
          <w:szCs w:val="32"/>
        </w:rPr>
      </w:pPr>
    </w:p>
    <w:p>
      <w:pPr>
        <w:pStyle w:val="24"/>
        <w:numPr>
          <w:ilvl w:val="0"/>
          <w:numId w:val="0"/>
        </w:numPr>
        <w:spacing w:line="600" w:lineRule="exact"/>
        <w:outlineLvl w:val="1"/>
        <w:rPr>
          <w:rFonts w:hint="eastAsia" w:ascii="黑体" w:hAnsi="黑体" w:eastAsia="黑体"/>
          <w:color w:val="000000"/>
          <w:sz w:val="32"/>
          <w:szCs w:val="32"/>
        </w:rPr>
      </w:pPr>
      <w:bookmarkStart w:id="34" w:name="_Toc15396604"/>
      <w:bookmarkStart w:id="35" w:name="_Toc15377206"/>
    </w:p>
    <w:p>
      <w:pPr>
        <w:pStyle w:val="24"/>
        <w:numPr>
          <w:ilvl w:val="0"/>
          <w:numId w:val="0"/>
        </w:numPr>
        <w:spacing w:line="600" w:lineRule="exact"/>
        <w:outlineLvl w:val="1"/>
        <w:rPr>
          <w:rFonts w:hint="eastAsia" w:ascii="黑体" w:hAnsi="黑体" w:eastAsia="黑体"/>
          <w:color w:val="000000"/>
          <w:sz w:val="32"/>
          <w:szCs w:val="32"/>
        </w:rPr>
      </w:pPr>
    </w:p>
    <w:p>
      <w:pPr>
        <w:pStyle w:val="24"/>
        <w:numPr>
          <w:ilvl w:val="0"/>
          <w:numId w:val="0"/>
        </w:numPr>
        <w:spacing w:line="600" w:lineRule="exact"/>
        <w:outlineLvl w:val="1"/>
        <w:rPr>
          <w:rStyle w:val="26"/>
          <w:rFonts w:ascii="黑体" w:hAnsi="黑体" w:eastAsia="黑体"/>
          <w:b w:val="0"/>
        </w:rPr>
      </w:pPr>
      <w:r>
        <w:rPr>
          <w:rFonts w:hint="eastAsia" w:ascii="黑体" w:hAnsi="黑体" w:eastAsia="黑体"/>
          <w:color w:val="000000"/>
          <w:sz w:val="32"/>
          <w:szCs w:val="32"/>
          <w:lang w:eastAsia="zh-CN"/>
        </w:rPr>
        <w:t>　　二、</w:t>
      </w:r>
      <w:r>
        <w:rPr>
          <w:rFonts w:hint="eastAsia" w:ascii="黑体" w:hAnsi="黑体" w:eastAsia="黑体"/>
          <w:color w:val="000000"/>
          <w:sz w:val="32"/>
          <w:szCs w:val="32"/>
        </w:rPr>
        <w:t>收</w:t>
      </w:r>
      <w:r>
        <w:rPr>
          <w:rStyle w:val="26"/>
          <w:rFonts w:hint="eastAsia" w:ascii="黑体" w:hAnsi="黑体" w:eastAsia="黑体"/>
          <w:b w:val="0"/>
        </w:rPr>
        <w:t>入决算情况说明</w:t>
      </w:r>
      <w:bookmarkEnd w:id="34"/>
      <w:bookmarkEnd w:id="3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3401.94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3037.3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89.28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364.64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10.72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　　　</w:t>
      </w:r>
      <w:r>
        <w:rPr>
          <w:rFonts w:hint="eastAsia" w:ascii="仿宋" w:hAnsi="仿宋" w:eastAsia="仿宋"/>
          <w:color w:val="000000" w:themeColor="text1"/>
          <w:sz w:val="32"/>
          <w:szCs w:val="32"/>
          <w14:textFill>
            <w14:solidFill>
              <w14:schemeClr w14:val="tx1"/>
            </w14:solidFill>
          </w14:textFill>
        </w:rPr>
        <w:t>（图2：收入决算结构图）</w:t>
      </w:r>
      <w:r>
        <w:rPr>
          <w:rFonts w:hint="eastAsia" w:ascii="仿宋" w:hAnsi="仿宋" w:eastAsia="仿宋"/>
          <w:color w:val="FF0000"/>
          <w:sz w:val="32"/>
          <w:szCs w:val="32"/>
          <w:lang w:val="en-US" w:eastAsia="zh-CN"/>
        </w:rPr>
        <w:t xml:space="preserve"> </w:t>
      </w: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594995</wp:posOffset>
            </wp:positionH>
            <wp:positionV relativeFrom="paragraph">
              <wp:posOffset>95250</wp:posOffset>
            </wp:positionV>
            <wp:extent cx="3855085" cy="2265680"/>
            <wp:effectExtent l="4445" t="5080" r="7620" b="1524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lang w:eastAsia="zh-CN"/>
          <w14:textFill>
            <w14:solidFill>
              <w14:schemeClr w14:val="tx1"/>
            </w14:solidFill>
          </w14:textFill>
        </w:rPr>
      </w:pPr>
      <w:bookmarkStart w:id="36" w:name="_Toc15377207"/>
      <w:bookmarkStart w:id="37" w:name="_Toc15396605"/>
      <w:r>
        <w:rPr>
          <w:rFonts w:hint="eastAsia" w:ascii="仿宋" w:hAnsi="仿宋" w:eastAsia="仿宋"/>
          <w:color w:val="000000" w:themeColor="text1"/>
          <w:sz w:val="32"/>
          <w:szCs w:val="32"/>
          <w:lang w:eastAsia="zh-CN"/>
          <w14:textFill>
            <w14:solidFill>
              <w14:schemeClr w14:val="tx1"/>
            </w14:solidFill>
          </w14:textFill>
        </w:rPr>
        <w:t>　　</w:t>
      </w:r>
    </w:p>
    <w:p>
      <w:pPr>
        <w:spacing w:line="600" w:lineRule="exact"/>
        <w:rPr>
          <w:rFonts w:hint="eastAsia" w:ascii="仿宋" w:hAnsi="仿宋" w:eastAsia="仿宋"/>
          <w:color w:val="000000" w:themeColor="text1"/>
          <w:sz w:val="32"/>
          <w:szCs w:val="32"/>
          <w:lang w:eastAsia="zh-CN"/>
          <w14:textFill>
            <w14:solidFill>
              <w14:schemeClr w14:val="tx1"/>
            </w14:solidFill>
          </w14:textFill>
        </w:rPr>
      </w:pPr>
    </w:p>
    <w:p>
      <w:pPr>
        <w:spacing w:line="600" w:lineRule="exact"/>
        <w:rPr>
          <w:rFonts w:hint="eastAsia" w:ascii="仿宋" w:hAnsi="仿宋" w:eastAsia="仿宋"/>
          <w:color w:val="000000" w:themeColor="text1"/>
          <w:sz w:val="32"/>
          <w:szCs w:val="32"/>
          <w:lang w:eastAsia="zh-CN"/>
          <w14:textFill>
            <w14:solidFill>
              <w14:schemeClr w14:val="tx1"/>
            </w14:solidFill>
          </w14:textFill>
        </w:rPr>
      </w:pPr>
    </w:p>
    <w:p>
      <w:pPr>
        <w:spacing w:line="600" w:lineRule="exact"/>
        <w:rPr>
          <w:rFonts w:hint="eastAsia" w:ascii="仿宋" w:hAnsi="仿宋" w:eastAsia="仿宋"/>
          <w:color w:val="000000" w:themeColor="text1"/>
          <w:sz w:val="32"/>
          <w:szCs w:val="32"/>
          <w:lang w:eastAsia="zh-CN"/>
          <w14:textFill>
            <w14:solidFill>
              <w14:schemeClr w14:val="tx1"/>
            </w14:solidFill>
          </w14:textFill>
        </w:rPr>
      </w:pPr>
    </w:p>
    <w:p>
      <w:pPr>
        <w:spacing w:line="600" w:lineRule="exact"/>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　　</w:t>
      </w:r>
    </w:p>
    <w:p>
      <w:pPr>
        <w:spacing w:line="600" w:lineRule="exact"/>
        <w:ind w:firstLine="640" w:firstLineChars="200"/>
        <w:rPr>
          <w:rStyle w:val="26"/>
          <w:rFonts w:ascii="黑体" w:hAnsi="黑体" w:eastAsia="黑体"/>
          <w:b w:val="0"/>
        </w:rPr>
      </w:pPr>
      <w:r>
        <w:rPr>
          <w:rFonts w:hint="eastAsia" w:ascii="仿宋" w:hAnsi="仿宋" w:eastAsia="仿宋"/>
          <w:color w:val="000000" w:themeColor="text1"/>
          <w:sz w:val="32"/>
          <w:szCs w:val="32"/>
          <w:lang w:eastAsia="zh-CN"/>
          <w14:textFill>
            <w14:solidFill>
              <w14:schemeClr w14:val="tx1"/>
            </w14:solidFill>
          </w14:textFill>
        </w:rPr>
        <w:t>三、</w:t>
      </w:r>
      <w:r>
        <w:rPr>
          <w:rFonts w:hint="eastAsia" w:ascii="黑体" w:hAnsi="黑体" w:eastAsia="黑体"/>
          <w:color w:val="000000"/>
          <w:sz w:val="32"/>
          <w:szCs w:val="32"/>
        </w:rPr>
        <w:t>支</w:t>
      </w:r>
      <w:r>
        <w:rPr>
          <w:rStyle w:val="26"/>
          <w:rFonts w:hint="eastAsia" w:ascii="黑体" w:hAnsi="黑体" w:eastAsia="黑体"/>
          <w:b w:val="0"/>
        </w:rPr>
        <w:t>出决算情况说明</w:t>
      </w:r>
      <w:bookmarkEnd w:id="36"/>
      <w:bookmarkEnd w:id="3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3118.37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1975.85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63.36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1142.52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36.64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FF0000"/>
          <w:sz w:val="32"/>
          <w:szCs w:val="32"/>
          <w:lang w:eastAsia="zh-CN"/>
        </w:rPr>
      </w:pPr>
      <w:r>
        <w:rPr>
          <w:rFonts w:hint="eastAsia" w:ascii="仿宋" w:hAnsi="仿宋" w:eastAsia="仿宋"/>
          <w:color w:val="000000" w:themeColor="text1"/>
          <w:sz w:val="32"/>
          <w:szCs w:val="32"/>
          <w14:textFill>
            <w14:solidFill>
              <w14:schemeClr w14:val="tx1"/>
            </w14:solidFill>
          </w14:textFill>
        </w:rPr>
        <w:t>（图3：支出决算结构图）</w:t>
      </w:r>
      <w:r>
        <w:rPr>
          <w:rFonts w:hint="eastAsia" w:ascii="仿宋" w:hAnsi="仿宋" w:eastAsia="仿宋"/>
          <w:color w:val="FF0000"/>
          <w:sz w:val="32"/>
          <w:szCs w:val="32"/>
          <w:lang w:val="en-US" w:eastAsia="zh-CN"/>
        </w:rPr>
        <w:t xml:space="preserve"> </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43180</wp:posOffset>
            </wp:positionH>
            <wp:positionV relativeFrom="paragraph">
              <wp:posOffset>317500</wp:posOffset>
            </wp:positionV>
            <wp:extent cx="5077460" cy="2684780"/>
            <wp:effectExtent l="5080" t="4445" r="22860" b="1587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outlineLvl w:val="1"/>
        <w:rPr>
          <w:rStyle w:val="26"/>
          <w:rFonts w:ascii="Times New Roman" w:hAnsi="Times New Roman" w:eastAsia="黑体" w:cs="Times New Roman"/>
          <w:b w:val="0"/>
        </w:rPr>
      </w:pPr>
      <w:bookmarkStart w:id="38" w:name="_Toc15377208"/>
      <w:bookmarkStart w:id="39" w:name="_Toc15396606"/>
      <w:r>
        <w:rPr>
          <w:rFonts w:hint="eastAsia" w:eastAsia="黑体" w:cs="Times New Roman"/>
          <w:b w:val="0"/>
          <w:bCs w:val="0"/>
          <w:color w:val="000000"/>
          <w:sz w:val="32"/>
          <w:szCs w:val="32"/>
          <w:lang w:eastAsia="zh-CN"/>
        </w:rPr>
        <w:t>　　</w:t>
      </w:r>
      <w:r>
        <w:rPr>
          <w:rFonts w:hint="eastAsia" w:ascii="Times New Roman" w:hAnsi="Times New Roman" w:eastAsia="黑体" w:cs="Times New Roman"/>
          <w:b w:val="0"/>
          <w:bCs w:val="0"/>
          <w:color w:val="000000"/>
          <w:sz w:val="32"/>
          <w:szCs w:val="32"/>
        </w:rPr>
        <w:t>四、财</w:t>
      </w:r>
      <w:r>
        <w:rPr>
          <w:rStyle w:val="26"/>
          <w:rFonts w:hint="eastAsia" w:ascii="Times New Roman" w:hAnsi="Times New Roman" w:eastAsia="黑体" w:cs="Times New Roman"/>
          <w:b w:val="0"/>
        </w:rPr>
        <w:t>政拨款收入支出决算总体情况说明</w:t>
      </w:r>
      <w:bookmarkEnd w:id="38"/>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4212.69</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180.08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4.10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b/>
          <w:bCs/>
          <w:color w:val="000000"/>
          <w:sz w:val="32"/>
          <w:szCs w:val="32"/>
          <w:lang w:eastAsia="zh-CN"/>
        </w:rPr>
        <w:t>一</w:t>
      </w:r>
      <w:r>
        <w:rPr>
          <w:rFonts w:hint="eastAsia" w:ascii="仿宋_GB2312" w:hAnsi="仿宋_GB2312" w:eastAsia="仿宋_GB2312" w:cs="仿宋_GB2312"/>
          <w:b/>
          <w:bCs/>
          <w:color w:val="000000"/>
          <w:sz w:val="32"/>
          <w:szCs w:val="32"/>
          <w:lang w:eastAsia="zh-CN"/>
        </w:rPr>
        <w:t>般性公用支出继续压减，</w:t>
      </w:r>
      <w:r>
        <w:rPr>
          <w:rFonts w:hint="eastAsia" w:ascii="仿宋_GB2312" w:hAnsi="仿宋_GB2312" w:eastAsia="仿宋_GB2312" w:cs="仿宋_GB2312"/>
          <w:b/>
          <w:bCs/>
          <w:color w:val="000000"/>
          <w:sz w:val="32"/>
          <w:szCs w:val="32"/>
          <w:lang w:val="en-US" w:eastAsia="zh-CN"/>
        </w:rPr>
        <w:t>2019年项目支出比2018年减少。</w:t>
      </w:r>
    </w:p>
    <w:p>
      <w:pPr>
        <w:spacing w:line="600" w:lineRule="exact"/>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　</w:t>
      </w: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FF0000"/>
          <w:sz w:val="32"/>
          <w:szCs w:val="32"/>
          <w:lang w:val="en-US" w:eastAsia="zh-CN"/>
        </w:rPr>
        <w:t xml:space="preserve"> </w:t>
      </w:r>
    </w:p>
    <w:p>
      <w:pPr>
        <w:spacing w:line="600" w:lineRule="exact"/>
        <w:rPr>
          <w:rStyle w:val="26"/>
          <w:rFonts w:ascii="黑体" w:hAnsi="黑体" w:eastAsia="黑体"/>
          <w:b w:val="0"/>
        </w:rPr>
      </w:pPr>
      <w:r>
        <w:rPr>
          <w:rFonts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104775</wp:posOffset>
            </wp:positionH>
            <wp:positionV relativeFrom="paragraph">
              <wp:posOffset>239395</wp:posOffset>
            </wp:positionV>
            <wp:extent cx="5080000" cy="2886075"/>
            <wp:effectExtent l="4445" t="4445" r="20955" b="508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40" w:name="_Toc15377209"/>
      <w:bookmarkStart w:id="41" w:name="_Toc15396607"/>
      <w:r>
        <w:rPr>
          <w:rFonts w:hint="eastAsia" w:ascii="仿宋" w:hAnsi="仿宋" w:eastAsia="仿宋"/>
          <w:color w:val="000000"/>
          <w:sz w:val="32"/>
          <w:szCs w:val="32"/>
          <w:lang w:eastAsia="zh-CN"/>
        </w:rPr>
        <w:t>　　</w:t>
      </w: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40"/>
      <w:bookmarkEnd w:id="41"/>
    </w:p>
    <w:p>
      <w:pPr>
        <w:spacing w:line="600" w:lineRule="exact"/>
        <w:ind w:firstLine="640" w:firstLineChars="200"/>
        <w:outlineLvl w:val="2"/>
        <w:rPr>
          <w:rFonts w:ascii="仿宋" w:hAnsi="仿宋" w:eastAsia="仿宋"/>
          <w:b/>
          <w:color w:val="000000"/>
          <w:sz w:val="32"/>
          <w:szCs w:val="32"/>
        </w:rPr>
      </w:pPr>
      <w:bookmarkStart w:id="42" w:name="_Toc15377210"/>
      <w:r>
        <w:rPr>
          <w:rFonts w:hint="eastAsia" w:ascii="仿宋" w:hAnsi="仿宋" w:eastAsia="仿宋"/>
          <w:b/>
          <w:color w:val="000000"/>
          <w:sz w:val="32"/>
          <w:szCs w:val="32"/>
        </w:rPr>
        <w:t>（一）一般公共预算财政拨款支出决算总体情况</w:t>
      </w:r>
      <w:bookmarkEnd w:id="42"/>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2754.06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88.32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727.56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20.90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2019年部分项目支出在政府性基金预算支出科目中核算。</w:t>
      </w:r>
    </w:p>
    <w:p>
      <w:pPr>
        <w:spacing w:line="600" w:lineRule="exact"/>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　</w:t>
      </w:r>
    </w:p>
    <w:p>
      <w:pPr>
        <w:spacing w:line="600" w:lineRule="exact"/>
        <w:rPr>
          <w:rFonts w:hint="eastAsia" w:ascii="仿宋" w:hAnsi="仿宋" w:eastAsia="仿宋"/>
          <w:color w:val="FF0000"/>
          <w:sz w:val="32"/>
          <w:szCs w:val="32"/>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0" w:firstLineChars="200"/>
        <w:rPr>
          <w:rFonts w:hint="eastAsia" w:ascii="仿宋" w:hAnsi="仿宋" w:eastAsia="仿宋"/>
          <w:color w:val="FF0000"/>
          <w:sz w:val="32"/>
          <w:szCs w:val="32"/>
          <w:lang w:eastAsia="zh-CN"/>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b/>
          <w:color w:val="000000"/>
          <w:sz w:val="32"/>
          <w:szCs w:val="32"/>
        </w:rPr>
      </w:pPr>
      <w:r>
        <w:rPr>
          <w:rFonts w:hint="eastAsia" w:ascii="仿宋" w:hAnsi="仿宋" w:eastAsia="仿宋"/>
          <w:color w:val="FF0000"/>
          <w:sz w:val="32"/>
          <w:szCs w:val="32"/>
          <w:lang w:eastAsia="zh-CN"/>
        </w:rPr>
        <w:drawing>
          <wp:anchor distT="0" distB="0" distL="114300" distR="114300" simplePos="0" relativeHeight="251669504" behindDoc="0" locked="0" layoutInCell="1" allowOverlap="1">
            <wp:simplePos x="0" y="0"/>
            <wp:positionH relativeFrom="column">
              <wp:posOffset>107315</wp:posOffset>
            </wp:positionH>
            <wp:positionV relativeFrom="paragraph">
              <wp:posOffset>109855</wp:posOffset>
            </wp:positionV>
            <wp:extent cx="5196840" cy="2860675"/>
            <wp:effectExtent l="4445" t="4445" r="18415" b="685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43" w:name="_Toc15377211"/>
      <w:r>
        <w:rPr>
          <w:rFonts w:hint="eastAsia" w:ascii="仿宋" w:hAnsi="仿宋" w:eastAsia="仿宋"/>
          <w:b/>
          <w:color w:val="000000"/>
          <w:sz w:val="32"/>
          <w:szCs w:val="32"/>
          <w:lang w:eastAsia="zh-CN"/>
        </w:rPr>
        <w:t>（</w:t>
      </w:r>
      <w:r>
        <w:rPr>
          <w:rFonts w:hint="eastAsia" w:ascii="仿宋" w:hAnsi="仿宋" w:eastAsia="仿宋"/>
          <w:b/>
          <w:color w:val="000000"/>
          <w:sz w:val="32"/>
          <w:szCs w:val="32"/>
        </w:rPr>
        <w:t>二）一般公共预算财政拨款支出决算结构情况</w:t>
      </w:r>
      <w:bookmarkEnd w:id="43"/>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2754.06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宋体" w:hAnsi="宋体" w:eastAsia="宋体" w:cs="宋体"/>
          <w:b/>
          <w:bCs w:val="0"/>
          <w:color w:val="000000" w:themeColor="text1"/>
          <w:sz w:val="32"/>
          <w:szCs w:val="32"/>
          <w14:textFill>
            <w14:solidFill>
              <w14:schemeClr w14:val="tx1"/>
            </w14:solidFill>
          </w14:textFill>
        </w:rPr>
        <w:t>一般公共服务（类）支出</w:t>
      </w:r>
      <w:r>
        <w:rPr>
          <w:rFonts w:hint="eastAsia" w:ascii="宋体" w:hAnsi="宋体" w:eastAsia="宋体" w:cs="宋体"/>
          <w:b/>
          <w:bCs w:val="0"/>
          <w:color w:val="000000" w:themeColor="text1"/>
          <w:sz w:val="32"/>
          <w:szCs w:val="32"/>
          <w:lang w:val="en-US" w:eastAsia="zh-CN"/>
          <w14:textFill>
            <w14:solidFill>
              <w14:schemeClr w14:val="tx1"/>
            </w14:solidFill>
          </w14:textFill>
        </w:rPr>
        <w:t>6.6</w:t>
      </w:r>
      <w:r>
        <w:rPr>
          <w:rFonts w:hint="eastAsia" w:ascii="宋体" w:hAnsi="宋体" w:eastAsia="宋体" w:cs="宋体"/>
          <w:b/>
          <w:bCs w:val="0"/>
          <w:color w:val="000000" w:themeColor="text1"/>
          <w:sz w:val="32"/>
          <w:szCs w:val="32"/>
          <w14:textFill>
            <w14:solidFill>
              <w14:schemeClr w14:val="tx1"/>
            </w14:solidFill>
          </w14:textFill>
        </w:rPr>
        <w:t>万元，占</w:t>
      </w:r>
      <w:r>
        <w:rPr>
          <w:rFonts w:hint="eastAsia" w:ascii="宋体" w:hAnsi="宋体" w:eastAsia="宋体" w:cs="宋体"/>
          <w:b/>
          <w:bCs w:val="0"/>
          <w:color w:val="000000" w:themeColor="text1"/>
          <w:sz w:val="32"/>
          <w:szCs w:val="32"/>
          <w:lang w:val="en-US" w:eastAsia="zh-CN"/>
          <w14:textFill>
            <w14:solidFill>
              <w14:schemeClr w14:val="tx1"/>
            </w14:solidFill>
          </w14:textFill>
        </w:rPr>
        <w:t>0.24</w:t>
      </w:r>
      <w:r>
        <w:rPr>
          <w:rFonts w:hint="eastAsia" w:ascii="宋体" w:hAnsi="宋体" w:eastAsia="宋体" w:cs="宋体"/>
          <w:b/>
          <w:bCs w:val="0"/>
          <w:color w:val="000000" w:themeColor="text1"/>
          <w:sz w:val="32"/>
          <w:szCs w:val="32"/>
          <w14:textFill>
            <w14:solidFill>
              <w14:schemeClr w14:val="tx1"/>
            </w14:solidFill>
          </w14:textFill>
        </w:rPr>
        <w:t>%；</w:t>
      </w:r>
      <w:r>
        <w:rPr>
          <w:rFonts w:hint="eastAsia" w:ascii="宋体" w:hAnsi="宋体" w:eastAsia="宋体" w:cs="宋体"/>
          <w:b/>
          <w:bCs w:val="0"/>
          <w:color w:val="000000" w:themeColor="text1"/>
          <w:sz w:val="32"/>
          <w:szCs w:val="32"/>
          <w:lang w:eastAsia="zh-CN"/>
          <w14:textFill>
            <w14:solidFill>
              <w14:schemeClr w14:val="tx1"/>
            </w14:solidFill>
          </w14:textFill>
        </w:rPr>
        <w:t>　</w:t>
      </w:r>
      <w:r>
        <w:rPr>
          <w:rFonts w:hint="eastAsia" w:ascii="宋体" w:hAnsi="宋体" w:eastAsia="宋体" w:cs="宋体"/>
          <w:b/>
          <w:bCs w:val="0"/>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263.96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9.58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宋体" w:hAnsi="宋体" w:eastAsia="宋体" w:cs="宋体"/>
          <w:b/>
          <w:bCs/>
          <w:color w:val="000000"/>
          <w:sz w:val="32"/>
          <w:szCs w:val="32"/>
          <w:lang w:eastAsia="zh-CN"/>
        </w:rPr>
        <w:t>农林水支出</w:t>
      </w:r>
      <w:r>
        <w:rPr>
          <w:rFonts w:hint="eastAsia" w:ascii="宋体" w:hAnsi="宋体" w:cs="宋体"/>
          <w:b/>
          <w:bCs/>
          <w:color w:val="000000"/>
          <w:sz w:val="32"/>
          <w:szCs w:val="32"/>
          <w:lang w:eastAsia="zh-CN"/>
        </w:rPr>
        <w:t>（类）</w:t>
      </w:r>
      <w:r>
        <w:rPr>
          <w:rFonts w:hint="eastAsia" w:ascii="宋体" w:hAnsi="宋体" w:cs="宋体"/>
          <w:b/>
          <w:bCs/>
          <w:color w:val="000000"/>
          <w:sz w:val="32"/>
          <w:szCs w:val="32"/>
          <w:lang w:val="en-US" w:eastAsia="zh-CN"/>
        </w:rPr>
        <w:t>2351.10</w:t>
      </w:r>
      <w:r>
        <w:rPr>
          <w:rFonts w:hint="eastAsia" w:ascii="宋体" w:hAnsi="宋体" w:eastAsia="宋体" w:cs="宋体"/>
          <w:b/>
          <w:bCs/>
          <w:color w:val="000000"/>
          <w:sz w:val="32"/>
          <w:szCs w:val="32"/>
          <w:lang w:val="en-US" w:eastAsia="zh-CN"/>
        </w:rPr>
        <w:t>万元</w:t>
      </w:r>
      <w:r>
        <w:rPr>
          <w:rFonts w:hint="eastAsia" w:ascii="宋体" w:hAnsi="宋体" w:eastAsia="宋体" w:cs="宋体"/>
          <w:b/>
          <w:bCs/>
          <w:color w:val="000000" w:themeColor="text1"/>
          <w:sz w:val="32"/>
          <w:szCs w:val="32"/>
          <w14:textFill>
            <w14:solidFill>
              <w14:schemeClr w14:val="tx1"/>
            </w14:solidFill>
          </w14:textFill>
        </w:rPr>
        <w:t>，占</w:t>
      </w:r>
      <w:r>
        <w:rPr>
          <w:rFonts w:hint="eastAsia" w:ascii="宋体" w:hAnsi="宋体" w:cs="宋体"/>
          <w:b/>
          <w:bCs/>
          <w:color w:val="000000" w:themeColor="text1"/>
          <w:sz w:val="32"/>
          <w:szCs w:val="32"/>
          <w:lang w:val="en-US" w:eastAsia="zh-CN"/>
          <w14:textFill>
            <w14:solidFill>
              <w14:schemeClr w14:val="tx1"/>
            </w14:solidFill>
          </w14:textFill>
        </w:rPr>
        <w:t>85.37</w:t>
      </w:r>
      <w:r>
        <w:rPr>
          <w:rFonts w:hint="eastAsia" w:ascii="宋体" w:hAnsi="宋体" w:eastAsia="宋体" w:cs="宋体"/>
          <w:b/>
          <w:bCs/>
          <w:color w:val="000000" w:themeColor="text1"/>
          <w:sz w:val="32"/>
          <w:szCs w:val="32"/>
          <w14:textFill>
            <w14:solidFill>
              <w14:schemeClr w14:val="tx1"/>
            </w14:solidFill>
          </w14:textFill>
        </w:rPr>
        <w:t>%；住房保障支出</w:t>
      </w:r>
      <w:r>
        <w:rPr>
          <w:rFonts w:hint="eastAsia" w:ascii="宋体" w:hAnsi="宋体" w:cs="宋体"/>
          <w:b/>
          <w:bCs/>
          <w:color w:val="000000" w:themeColor="text1"/>
          <w:sz w:val="32"/>
          <w:szCs w:val="32"/>
          <w:lang w:eastAsia="zh-CN"/>
          <w14:textFill>
            <w14:solidFill>
              <w14:schemeClr w14:val="tx1"/>
            </w14:solidFill>
          </w14:textFill>
        </w:rPr>
        <w:t>（类）</w:t>
      </w:r>
      <w:r>
        <w:rPr>
          <w:rFonts w:hint="eastAsia" w:ascii="宋体" w:hAnsi="宋体" w:cs="宋体"/>
          <w:b/>
          <w:bCs/>
          <w:color w:val="000000" w:themeColor="text1"/>
          <w:sz w:val="32"/>
          <w:szCs w:val="32"/>
          <w:lang w:val="en-US" w:eastAsia="zh-CN"/>
          <w14:textFill>
            <w14:solidFill>
              <w14:schemeClr w14:val="tx1"/>
            </w14:solidFill>
          </w14:textFill>
        </w:rPr>
        <w:t>132.4</w:t>
      </w:r>
      <w:r>
        <w:rPr>
          <w:rFonts w:hint="eastAsia" w:ascii="宋体" w:hAnsi="宋体" w:eastAsia="宋体" w:cs="宋体"/>
          <w:b/>
          <w:bCs/>
          <w:color w:val="000000" w:themeColor="text1"/>
          <w:sz w:val="32"/>
          <w:szCs w:val="32"/>
          <w14:textFill>
            <w14:solidFill>
              <w14:schemeClr w14:val="tx1"/>
            </w14:solidFill>
          </w14:textFill>
        </w:rPr>
        <w:t>万元，占</w:t>
      </w:r>
      <w:r>
        <w:rPr>
          <w:rFonts w:hint="eastAsia" w:ascii="宋体" w:hAnsi="宋体" w:cs="宋体"/>
          <w:b/>
          <w:bCs/>
          <w:color w:val="000000" w:themeColor="text1"/>
          <w:sz w:val="32"/>
          <w:szCs w:val="32"/>
          <w:lang w:val="en-US" w:eastAsia="zh-CN"/>
          <w14:textFill>
            <w14:solidFill>
              <w14:schemeClr w14:val="tx1"/>
            </w14:solidFill>
          </w14:textFill>
        </w:rPr>
        <w:t>4.81</w:t>
      </w:r>
      <w:r>
        <w:rPr>
          <w:rFonts w:hint="eastAsia" w:ascii="宋体" w:hAnsi="宋体" w:eastAsia="宋体" w:cs="宋体"/>
          <w:b/>
          <w:bCs/>
          <w:color w:val="000000" w:themeColor="text1"/>
          <w:sz w:val="32"/>
          <w:szCs w:val="32"/>
          <w14:textFill>
            <w14:solidFill>
              <w14:schemeClr w14:val="tx1"/>
            </w14:solidFill>
          </w14:textFill>
        </w:rPr>
        <w:t>%。</w:t>
      </w:r>
      <w:r>
        <w:rPr>
          <w:rFonts w:hint="eastAsia" w:ascii="宋体" w:hAnsi="宋体" w:cs="宋体"/>
          <w:b/>
          <w:bCs/>
          <w:color w:val="000000" w:themeColor="text1"/>
          <w:sz w:val="32"/>
          <w:szCs w:val="32"/>
          <w:lang w:eastAsia="zh-CN"/>
          <w14:textFill>
            <w14:solidFill>
              <w14:schemeClr w14:val="tx1"/>
            </w14:solidFill>
          </w14:textFill>
        </w:rPr>
        <w:t>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420" w:firstLineChars="200"/>
        <w:rPr>
          <w:rFonts w:hint="eastAsia" w:ascii="仿宋" w:hAnsi="仿宋" w:eastAsia="仿宋"/>
          <w:color w:val="000000"/>
          <w:sz w:val="32"/>
          <w:szCs w:val="32"/>
          <w:lang w:eastAsia="zh-CN"/>
        </w:rPr>
      </w:pPr>
      <w:r>
        <w:drawing>
          <wp:anchor distT="0" distB="0" distL="114300" distR="114300" simplePos="0" relativeHeight="251663360" behindDoc="0" locked="0" layoutInCell="1" allowOverlap="1">
            <wp:simplePos x="0" y="0"/>
            <wp:positionH relativeFrom="column">
              <wp:posOffset>364490</wp:posOffset>
            </wp:positionH>
            <wp:positionV relativeFrom="paragraph">
              <wp:posOffset>71120</wp:posOffset>
            </wp:positionV>
            <wp:extent cx="5080000" cy="2763520"/>
            <wp:effectExtent l="4445" t="4445" r="20955" b="1333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2"/>
        <w:rPr>
          <w:rFonts w:ascii="仿宋" w:hAnsi="仿宋" w:eastAsia="仿宋"/>
          <w:b/>
          <w:color w:val="000000"/>
          <w:sz w:val="32"/>
          <w:szCs w:val="32"/>
        </w:rPr>
      </w:pPr>
      <w:bookmarkStart w:id="44" w:name="_Toc15377212"/>
      <w:r>
        <w:rPr>
          <w:rFonts w:hint="eastAsia" w:ascii="仿宋" w:hAnsi="仿宋" w:eastAsia="仿宋"/>
          <w:b/>
          <w:color w:val="000000"/>
          <w:sz w:val="32"/>
          <w:szCs w:val="32"/>
        </w:rPr>
        <w:t>（三）一般公共预算财政拨款支出决算具体情况</w:t>
      </w:r>
      <w:bookmarkEnd w:id="44"/>
    </w:p>
    <w:p>
      <w:pPr>
        <w:spacing w:line="600" w:lineRule="exact"/>
        <w:ind w:firstLine="640" w:firstLineChars="200"/>
        <w:outlineLvl w:val="2"/>
        <w:rPr>
          <w:rFonts w:ascii="仿宋" w:hAnsi="仿宋" w:eastAsia="仿宋"/>
          <w:color w:val="FF0000"/>
          <w:sz w:val="32"/>
          <w:szCs w:val="32"/>
        </w:rPr>
      </w:pPr>
      <w:bookmarkStart w:id="45" w:name="_Toc15377444"/>
      <w:bookmarkStart w:id="46" w:name="_Toc15378460"/>
      <w:bookmarkStart w:id="47" w:name="_Toc15377213"/>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2754.06万元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71.57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45"/>
      <w:bookmarkEnd w:id="46"/>
      <w:bookmarkEnd w:id="47"/>
    </w:p>
    <w:p>
      <w:pPr>
        <w:spacing w:line="600" w:lineRule="exact"/>
        <w:ind w:firstLine="640" w:firstLineChars="200"/>
        <w:rPr>
          <w:rFonts w:ascii="仿宋" w:hAnsi="仿宋" w:eastAsia="仿宋"/>
          <w:b/>
          <w:color w:val="auto"/>
          <w:sz w:val="32"/>
          <w:szCs w:val="32"/>
        </w:rPr>
      </w:pPr>
      <w:r>
        <w:rPr>
          <w:rStyle w:val="15"/>
          <w:rFonts w:ascii="仿宋" w:hAnsi="仿宋" w:eastAsia="仿宋"/>
          <w:bCs/>
          <w:color w:val="auto"/>
          <w:sz w:val="32"/>
          <w:szCs w:val="32"/>
        </w:rPr>
        <w:t>1.</w:t>
      </w:r>
      <w:r>
        <w:rPr>
          <w:rStyle w:val="15"/>
          <w:rFonts w:hint="eastAsia" w:ascii="仿宋" w:hAnsi="仿宋" w:eastAsia="仿宋"/>
          <w:bCs/>
          <w:color w:val="auto"/>
          <w:sz w:val="32"/>
          <w:szCs w:val="32"/>
        </w:rPr>
        <w:t>一般公共服务（类）组织事务（款）其他组织事务支出（项）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6.6</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2</w:t>
      </w:r>
      <w:r>
        <w:rPr>
          <w:rStyle w:val="15"/>
          <w:rFonts w:ascii="仿宋" w:hAnsi="仿宋" w:eastAsia="仿宋"/>
          <w:bCs/>
          <w:color w:val="auto"/>
          <w:sz w:val="32"/>
          <w:szCs w:val="32"/>
        </w:rPr>
        <w:t>.</w:t>
      </w:r>
      <w:r>
        <w:rPr>
          <w:rStyle w:val="15"/>
          <w:rFonts w:hint="eastAsia" w:ascii="仿宋" w:hAnsi="仿宋" w:eastAsia="仿宋"/>
          <w:bCs/>
          <w:color w:val="auto"/>
          <w:sz w:val="32"/>
          <w:szCs w:val="32"/>
        </w:rPr>
        <w:t>社会保障和就业（类）行政事业单位离退休（款）未归口管理的行政单位离退休（项）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117.26</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社会保障和就业（类）行政事业单位离退休（款）机关事业单位基本养老保险缴费支出（项）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130.17</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4</w:t>
      </w:r>
      <w:r>
        <w:rPr>
          <w:rStyle w:val="15"/>
          <w:rFonts w:ascii="仿宋" w:hAnsi="仿宋" w:eastAsia="仿宋"/>
          <w:bCs/>
          <w:color w:val="auto"/>
          <w:sz w:val="32"/>
          <w:szCs w:val="32"/>
        </w:rPr>
        <w:t>.</w:t>
      </w:r>
      <w:r>
        <w:rPr>
          <w:rStyle w:val="15"/>
          <w:rFonts w:hint="eastAsia" w:ascii="仿宋" w:hAnsi="仿宋" w:eastAsia="仿宋"/>
          <w:bCs/>
          <w:color w:val="auto"/>
          <w:sz w:val="32"/>
          <w:szCs w:val="32"/>
        </w:rPr>
        <w:t>社会保障和就业（类）抚恤（款）死亡抚恤（项）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16.03</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5</w:t>
      </w:r>
      <w:r>
        <w:rPr>
          <w:rStyle w:val="15"/>
          <w:rFonts w:ascii="仿宋" w:hAnsi="仿宋" w:eastAsia="仿宋"/>
          <w:bCs/>
          <w:color w:val="auto"/>
          <w:sz w:val="32"/>
          <w:szCs w:val="32"/>
        </w:rPr>
        <w:t>.</w:t>
      </w:r>
      <w:r>
        <w:rPr>
          <w:rStyle w:val="15"/>
          <w:rFonts w:hint="eastAsia" w:ascii="仿宋" w:hAnsi="仿宋" w:eastAsia="仿宋"/>
          <w:bCs/>
          <w:color w:val="auto"/>
          <w:sz w:val="32"/>
          <w:szCs w:val="32"/>
        </w:rPr>
        <w:t>社会保障和就业（类）社会福利（款）儿童福利（项）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0.5</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6</w:t>
      </w:r>
      <w:r>
        <w:rPr>
          <w:rStyle w:val="15"/>
          <w:rFonts w:ascii="仿宋" w:hAnsi="仿宋" w:eastAsia="仿宋"/>
          <w:bCs/>
          <w:color w:val="auto"/>
          <w:sz w:val="32"/>
          <w:szCs w:val="32"/>
        </w:rPr>
        <w:t>.</w:t>
      </w:r>
      <w:r>
        <w:rPr>
          <w:rStyle w:val="15"/>
          <w:rFonts w:hint="eastAsia" w:ascii="仿宋" w:hAnsi="仿宋" w:eastAsia="仿宋"/>
          <w:bCs/>
          <w:color w:val="auto"/>
          <w:sz w:val="32"/>
          <w:szCs w:val="32"/>
        </w:rPr>
        <w:t>农林水支出（类）水利（款）行政运行（项）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807.47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0"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auto"/>
          <w:sz w:val="32"/>
          <w:szCs w:val="32"/>
          <w:lang w:val="en-US" w:eastAsia="zh-CN"/>
        </w:rPr>
        <w:t>7</w:t>
      </w:r>
      <w:r>
        <w:rPr>
          <w:rStyle w:val="15"/>
          <w:rFonts w:ascii="仿宋" w:hAnsi="仿宋" w:eastAsia="仿宋"/>
          <w:bCs/>
          <w:color w:val="auto"/>
          <w:sz w:val="32"/>
          <w:szCs w:val="32"/>
        </w:rPr>
        <w:t>.</w:t>
      </w:r>
      <w:r>
        <w:rPr>
          <w:rStyle w:val="15"/>
          <w:rFonts w:hint="eastAsia" w:ascii="仿宋" w:hAnsi="仿宋" w:eastAsia="仿宋"/>
          <w:bCs/>
          <w:color w:val="auto"/>
          <w:sz w:val="32"/>
          <w:szCs w:val="32"/>
        </w:rPr>
        <w:t>农林水支出（类）水利（款）一般行政管理事务（项）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0"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000000"/>
          <w:sz w:val="32"/>
          <w:szCs w:val="32"/>
          <w:lang w:val="en-US" w:eastAsia="zh-CN"/>
        </w:rPr>
        <w:t>8</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农林水支出（类）水利（款）水利工程运行与维护（项）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421.48</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95.51</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eastAsia="zh-CN"/>
        </w:rPr>
        <w:t>水毁修复工程未验收，尾款未付。</w:t>
      </w:r>
    </w:p>
    <w:p>
      <w:pPr>
        <w:spacing w:line="600" w:lineRule="exact"/>
        <w:ind w:firstLine="640" w:firstLineChars="200"/>
        <w:rPr>
          <w:rStyle w:val="15"/>
          <w:rFonts w:hint="eastAsia" w:ascii="仿宋" w:hAnsi="仿宋" w:eastAsia="仿宋"/>
          <w:b w:val="0"/>
          <w:bCs/>
          <w:color w:val="0000FF"/>
          <w:sz w:val="32"/>
          <w:szCs w:val="32"/>
          <w:lang w:eastAsia="zh-CN"/>
        </w:rPr>
      </w:pPr>
      <w:r>
        <w:rPr>
          <w:rStyle w:val="15"/>
          <w:rFonts w:hint="eastAsia" w:ascii="仿宋" w:hAnsi="仿宋" w:eastAsia="仿宋"/>
          <w:bCs/>
          <w:color w:val="000000"/>
          <w:sz w:val="32"/>
          <w:szCs w:val="32"/>
          <w:lang w:val="en-US" w:eastAsia="zh-CN"/>
        </w:rPr>
        <w:t>9</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农林水支出（类）水利（款）水土保持（项）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152.78</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99.67</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eastAsia="zh-CN"/>
        </w:rPr>
        <w:t>项目质保金未付。</w:t>
      </w:r>
    </w:p>
    <w:p>
      <w:pPr>
        <w:spacing w:line="600" w:lineRule="exact"/>
        <w:ind w:firstLine="640"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auto"/>
          <w:sz w:val="32"/>
          <w:szCs w:val="32"/>
          <w:lang w:val="en-US" w:eastAsia="zh-CN"/>
        </w:rPr>
        <w:t>10</w:t>
      </w:r>
      <w:r>
        <w:rPr>
          <w:rStyle w:val="15"/>
          <w:rFonts w:ascii="仿宋" w:hAnsi="仿宋" w:eastAsia="仿宋"/>
          <w:bCs/>
          <w:color w:val="auto"/>
          <w:sz w:val="32"/>
          <w:szCs w:val="32"/>
        </w:rPr>
        <w:t>.</w:t>
      </w:r>
      <w:r>
        <w:rPr>
          <w:rStyle w:val="15"/>
          <w:rFonts w:hint="eastAsia" w:ascii="仿宋" w:hAnsi="仿宋" w:eastAsia="仿宋"/>
          <w:bCs/>
          <w:color w:val="auto"/>
          <w:sz w:val="32"/>
          <w:szCs w:val="32"/>
        </w:rPr>
        <w:t>农林水支出（类）水利（款）</w:t>
      </w:r>
      <w:r>
        <w:rPr>
          <w:rStyle w:val="15"/>
          <w:rFonts w:hint="eastAsia" w:ascii="仿宋" w:hAnsi="仿宋" w:eastAsia="仿宋"/>
          <w:b w:val="0"/>
          <w:bCs/>
          <w:color w:val="auto"/>
          <w:sz w:val="32"/>
          <w:szCs w:val="32"/>
        </w:rPr>
        <w:t>水资源节约管理与保护</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80.62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0"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11</w:t>
      </w:r>
      <w:r>
        <w:rPr>
          <w:rStyle w:val="15"/>
          <w:rFonts w:ascii="仿宋" w:hAnsi="仿宋" w:eastAsia="仿宋"/>
          <w:bCs/>
          <w:color w:val="auto"/>
          <w:sz w:val="32"/>
          <w:szCs w:val="32"/>
        </w:rPr>
        <w:t>.</w:t>
      </w:r>
      <w:r>
        <w:rPr>
          <w:rStyle w:val="15"/>
          <w:rFonts w:hint="eastAsia" w:ascii="仿宋" w:hAnsi="仿宋" w:eastAsia="仿宋"/>
          <w:bCs/>
          <w:color w:val="auto"/>
          <w:sz w:val="32"/>
          <w:szCs w:val="32"/>
        </w:rPr>
        <w:t>农林水支出（类）水利（款）</w:t>
      </w:r>
      <w:r>
        <w:rPr>
          <w:rStyle w:val="15"/>
          <w:rFonts w:hint="eastAsia" w:ascii="仿宋" w:hAnsi="仿宋" w:eastAsia="仿宋"/>
          <w:b w:val="0"/>
          <w:bCs/>
          <w:color w:val="auto"/>
          <w:sz w:val="32"/>
          <w:szCs w:val="32"/>
        </w:rPr>
        <w:t>防汛</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40</w:t>
      </w:r>
      <w:r>
        <w:rPr>
          <w:rStyle w:val="15"/>
          <w:rFonts w:hint="eastAsia" w:ascii="仿宋" w:hAnsi="仿宋" w:eastAsia="仿宋"/>
          <w:b w:val="0"/>
          <w:bCs/>
          <w:color w:val="auto"/>
          <w:sz w:val="32"/>
          <w:szCs w:val="32"/>
        </w:rPr>
        <w:t>万元，完成预</w:t>
      </w:r>
      <w:r>
        <w:rPr>
          <w:rStyle w:val="15"/>
          <w:rFonts w:hint="eastAsia" w:ascii="仿宋" w:hAnsi="仿宋" w:eastAsia="仿宋"/>
          <w:b w:val="0"/>
          <w:bCs/>
          <w:color w:val="auto"/>
          <w:sz w:val="32"/>
          <w:szCs w:val="32"/>
          <w:lang w:val="en-US" w:eastAsia="zh-CN"/>
        </w:rPr>
        <w:t>50.13</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eastAsia="zh-CN"/>
        </w:rPr>
        <w:t>水毁修复工程未验收，工程款未付。</w:t>
      </w:r>
    </w:p>
    <w:p>
      <w:pPr>
        <w:spacing w:line="600" w:lineRule="exact"/>
        <w:ind w:firstLine="640"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auto"/>
          <w:sz w:val="32"/>
          <w:szCs w:val="32"/>
          <w:lang w:val="en-US" w:eastAsia="zh-CN"/>
        </w:rPr>
        <w:t>12</w:t>
      </w:r>
      <w:r>
        <w:rPr>
          <w:rStyle w:val="15"/>
          <w:rFonts w:hint="eastAsia" w:ascii="仿宋" w:hAnsi="仿宋" w:eastAsia="仿宋"/>
          <w:bCs/>
          <w:color w:val="auto"/>
          <w:sz w:val="32"/>
          <w:szCs w:val="32"/>
        </w:rPr>
        <w:t>农林水支出（类）水利（款）</w:t>
      </w:r>
      <w:r>
        <w:rPr>
          <w:rStyle w:val="15"/>
          <w:rFonts w:hint="eastAsia" w:ascii="仿宋" w:hAnsi="仿宋" w:eastAsia="仿宋"/>
          <w:b w:val="0"/>
          <w:bCs/>
          <w:color w:val="auto"/>
          <w:sz w:val="32"/>
          <w:szCs w:val="32"/>
        </w:rPr>
        <w:t>水利技术推广</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202.68</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0" w:firstLineChars="200"/>
        <w:rPr>
          <w:rStyle w:val="15"/>
          <w:rFonts w:hint="eastAsia" w:ascii="仿宋" w:hAnsi="仿宋" w:eastAsia="仿宋"/>
          <w:b w:val="0"/>
          <w:bCs/>
          <w:color w:val="auto"/>
          <w:sz w:val="32"/>
          <w:szCs w:val="32"/>
          <w:lang w:eastAsia="zh-CN"/>
        </w:rPr>
      </w:pPr>
      <w:r>
        <w:rPr>
          <w:rStyle w:val="15"/>
          <w:rFonts w:hint="eastAsia" w:ascii="仿宋" w:hAnsi="仿宋" w:eastAsia="仿宋"/>
          <w:bCs/>
          <w:color w:val="auto"/>
          <w:sz w:val="32"/>
          <w:szCs w:val="32"/>
          <w:lang w:val="en-US" w:eastAsia="zh-CN"/>
        </w:rPr>
        <w:t>13</w:t>
      </w:r>
      <w:r>
        <w:rPr>
          <w:rStyle w:val="15"/>
          <w:rFonts w:ascii="仿宋" w:hAnsi="仿宋" w:eastAsia="仿宋"/>
          <w:bCs/>
          <w:color w:val="auto"/>
          <w:sz w:val="32"/>
          <w:szCs w:val="32"/>
        </w:rPr>
        <w:t>.</w:t>
      </w:r>
      <w:r>
        <w:rPr>
          <w:rStyle w:val="15"/>
          <w:rFonts w:hint="eastAsia" w:ascii="仿宋" w:hAnsi="仿宋" w:eastAsia="仿宋"/>
          <w:bCs/>
          <w:color w:val="auto"/>
          <w:sz w:val="32"/>
          <w:szCs w:val="32"/>
        </w:rPr>
        <w:t>农林水支出（类）水利（款）</w:t>
      </w:r>
      <w:r>
        <w:rPr>
          <w:rStyle w:val="15"/>
          <w:rFonts w:hint="eastAsia" w:ascii="仿宋" w:hAnsi="仿宋" w:eastAsia="仿宋"/>
          <w:b w:val="0"/>
          <w:bCs/>
          <w:color w:val="auto"/>
          <w:sz w:val="32"/>
          <w:szCs w:val="32"/>
        </w:rPr>
        <w:t>其他水利支出</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626.07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45.86</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预算数的主要原因是江河水域岸线规划和划界</w:t>
      </w:r>
      <w:r>
        <w:rPr>
          <w:rStyle w:val="15"/>
          <w:rFonts w:hint="eastAsia" w:ascii="仿宋" w:hAnsi="仿宋" w:eastAsia="仿宋"/>
          <w:b w:val="0"/>
          <w:bCs/>
          <w:color w:val="auto"/>
          <w:sz w:val="32"/>
          <w:szCs w:val="32"/>
          <w:lang w:eastAsia="zh-CN"/>
        </w:rPr>
        <w:t>项目、水资源国控二期项目按合同需要跨年实施并完成支付款项。</w:t>
      </w:r>
    </w:p>
    <w:p>
      <w:pPr>
        <w:spacing w:line="600" w:lineRule="exact"/>
        <w:ind w:firstLine="640" w:firstLineChars="200"/>
        <w:rPr>
          <w:rFonts w:hint="default" w:ascii="仿宋" w:hAnsi="仿宋" w:eastAsia="仿宋"/>
          <w:b/>
          <w:color w:val="000000"/>
          <w:sz w:val="32"/>
          <w:szCs w:val="32"/>
          <w:lang w:val="en-US" w:eastAsia="zh-CN"/>
        </w:rPr>
      </w:pPr>
      <w:r>
        <w:rPr>
          <w:rStyle w:val="15"/>
          <w:rFonts w:hint="eastAsia" w:ascii="仿宋" w:hAnsi="仿宋" w:eastAsia="仿宋"/>
          <w:bCs/>
          <w:color w:val="auto"/>
          <w:sz w:val="32"/>
          <w:szCs w:val="32"/>
          <w:lang w:val="en-US" w:eastAsia="zh-CN"/>
        </w:rPr>
        <w:t>14</w:t>
      </w:r>
      <w:r>
        <w:rPr>
          <w:rStyle w:val="15"/>
          <w:rFonts w:ascii="仿宋" w:hAnsi="仿宋" w:eastAsia="仿宋"/>
          <w:bCs/>
          <w:color w:val="auto"/>
          <w:sz w:val="32"/>
          <w:szCs w:val="32"/>
        </w:rPr>
        <w:t>.</w:t>
      </w:r>
      <w:r>
        <w:rPr>
          <w:rStyle w:val="15"/>
          <w:rFonts w:hint="eastAsia" w:ascii="仿宋" w:hAnsi="仿宋" w:eastAsia="仿宋"/>
          <w:bCs/>
          <w:color w:val="auto"/>
          <w:sz w:val="32"/>
          <w:szCs w:val="32"/>
        </w:rPr>
        <w:t>住房保障支出（类）住房改革支出（款）</w:t>
      </w:r>
      <w:r>
        <w:rPr>
          <w:rStyle w:val="15"/>
          <w:rFonts w:hint="eastAsia" w:ascii="仿宋" w:hAnsi="仿宋" w:eastAsia="仿宋"/>
          <w:b w:val="0"/>
          <w:bCs/>
          <w:color w:val="auto"/>
          <w:sz w:val="32"/>
          <w:szCs w:val="32"/>
        </w:rPr>
        <w:t>住房公积金</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132.40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tabs>
          <w:tab w:val="right" w:pos="8306"/>
        </w:tabs>
        <w:spacing w:line="600" w:lineRule="exact"/>
        <w:ind w:firstLine="640"/>
        <w:outlineLvl w:val="1"/>
        <w:rPr>
          <w:rStyle w:val="26"/>
        </w:rPr>
      </w:pPr>
      <w:bookmarkStart w:id="48" w:name="_Toc15377214"/>
      <w:bookmarkStart w:id="4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8"/>
      <w:bookmarkEnd w:id="49"/>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1975.86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1691.09</w:t>
      </w:r>
      <w:r>
        <w:rPr>
          <w:rFonts w:hint="eastAsia" w:ascii="仿宋" w:hAnsi="仿宋" w:eastAsia="仿宋"/>
          <w:color w:val="000000"/>
          <w:sz w:val="32"/>
          <w:szCs w:val="32"/>
        </w:rPr>
        <w:t>万元，主要包括：基本工资、津贴补贴、奖金、绩效工资、机关事业单位基本养老保险缴费</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284.77</w:t>
      </w:r>
      <w:r>
        <w:rPr>
          <w:rFonts w:hint="eastAsia" w:ascii="仿宋" w:hAnsi="仿宋" w:eastAsia="仿宋"/>
          <w:color w:val="000000"/>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50" w:name="_Toc15396609"/>
      <w:bookmarkStart w:id="51"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0"/>
      <w:bookmarkEnd w:id="51"/>
    </w:p>
    <w:p>
      <w:pPr>
        <w:spacing w:line="600" w:lineRule="exact"/>
        <w:ind w:firstLine="640"/>
        <w:outlineLvl w:val="2"/>
        <w:rPr>
          <w:rFonts w:ascii="仿宋" w:hAnsi="仿宋" w:eastAsia="仿宋"/>
          <w:b/>
          <w:color w:val="000000"/>
          <w:sz w:val="32"/>
          <w:szCs w:val="32"/>
        </w:rPr>
      </w:pPr>
      <w:bookmarkStart w:id="52" w:name="_Toc15377216"/>
      <w:r>
        <w:rPr>
          <w:rFonts w:hint="eastAsia" w:ascii="仿宋" w:hAnsi="仿宋" w:eastAsia="仿宋"/>
          <w:b/>
          <w:color w:val="000000"/>
          <w:sz w:val="32"/>
          <w:szCs w:val="32"/>
        </w:rPr>
        <w:t>（一）“三公”经费财政拨款支出决算总体情况说明</w:t>
      </w:r>
      <w:bookmarkEnd w:id="52"/>
    </w:p>
    <w:p>
      <w:pPr>
        <w:spacing w:line="600" w:lineRule="exact"/>
        <w:ind w:firstLine="640"/>
        <w:rPr>
          <w:rFonts w:ascii="仿宋" w:hAnsi="仿宋" w:eastAsia="仿宋"/>
          <w:b/>
          <w:bCs/>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9年“三公”经费财政拨款支出决算为</w:t>
      </w:r>
      <w:r>
        <w:rPr>
          <w:rFonts w:hint="eastAsia" w:ascii="仿宋" w:hAnsi="仿宋" w:eastAsia="仿宋"/>
          <w:color w:val="auto"/>
          <w:sz w:val="32"/>
          <w:szCs w:val="32"/>
          <w:lang w:val="en-US" w:eastAsia="zh-CN"/>
        </w:rPr>
        <w:t>44.71</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76.87</w:t>
      </w:r>
      <w:r>
        <w:rPr>
          <w:rFonts w:ascii="仿宋" w:hAnsi="仿宋" w:eastAsia="仿宋"/>
          <w:color w:val="auto"/>
          <w:sz w:val="32"/>
          <w:szCs w:val="32"/>
        </w:rPr>
        <w:t>%</w:t>
      </w:r>
      <w:r>
        <w:rPr>
          <w:rFonts w:hint="eastAsia" w:ascii="仿宋" w:hAnsi="仿宋" w:eastAsia="仿宋"/>
          <w:color w:val="auto"/>
          <w:sz w:val="32"/>
          <w:szCs w:val="32"/>
        </w:rPr>
        <w:t>，决算数小于预算数的主要原因是</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b/>
          <w:bCs/>
          <w:color w:val="auto"/>
          <w:sz w:val="32"/>
          <w:szCs w:val="32"/>
          <w:lang w:eastAsia="zh-CN"/>
        </w:rPr>
        <w:t>加强了车辆管理，</w:t>
      </w:r>
      <w:r>
        <w:rPr>
          <w:rFonts w:hint="eastAsia" w:ascii="仿宋_GB2312" w:hAnsi="仿宋_GB2312" w:eastAsia="仿宋_GB2312" w:cs="仿宋_GB2312"/>
          <w:b/>
          <w:bCs/>
          <w:color w:val="auto"/>
          <w:sz w:val="32"/>
          <w:szCs w:val="32"/>
        </w:rPr>
        <w:t>严</w:t>
      </w:r>
      <w:r>
        <w:rPr>
          <w:rFonts w:hint="eastAsia" w:ascii="仿宋_GB2312" w:hAnsi="仿宋_GB2312" w:eastAsia="仿宋_GB2312" w:cs="仿宋_GB2312"/>
          <w:b/>
          <w:bCs/>
          <w:color w:val="auto"/>
          <w:sz w:val="32"/>
          <w:szCs w:val="32"/>
          <w:lang w:eastAsia="zh-CN"/>
        </w:rPr>
        <w:t>格</w:t>
      </w:r>
      <w:r>
        <w:rPr>
          <w:rFonts w:hint="eastAsia" w:ascii="仿宋_GB2312" w:hAnsi="仿宋_GB2312" w:eastAsia="仿宋_GB2312" w:cs="仿宋_GB2312"/>
          <w:b/>
          <w:bCs/>
          <w:color w:val="auto"/>
          <w:sz w:val="32"/>
          <w:szCs w:val="32"/>
        </w:rPr>
        <w:t>控制公务接待费支出，厉行节约，压缩各项支出</w:t>
      </w:r>
      <w:r>
        <w:rPr>
          <w:rFonts w:hint="eastAsia" w:ascii="仿宋" w:hAnsi="仿宋" w:eastAsia="仿宋"/>
          <w:b/>
          <w:bCs/>
          <w:color w:val="auto"/>
          <w:sz w:val="32"/>
          <w:szCs w:val="32"/>
        </w:rPr>
        <w:t>。</w:t>
      </w:r>
    </w:p>
    <w:p>
      <w:pPr>
        <w:spacing w:line="600" w:lineRule="exact"/>
        <w:ind w:firstLine="640"/>
        <w:outlineLvl w:val="2"/>
        <w:rPr>
          <w:rFonts w:ascii="仿宋" w:hAnsi="仿宋" w:eastAsia="仿宋"/>
          <w:b/>
          <w:color w:val="000000"/>
          <w:sz w:val="32"/>
          <w:szCs w:val="32"/>
        </w:rPr>
      </w:pPr>
      <w:bookmarkStart w:id="53" w:name="_Toc15377217"/>
      <w:r>
        <w:rPr>
          <w:rFonts w:hint="eastAsia" w:ascii="仿宋" w:hAnsi="仿宋" w:eastAsia="仿宋"/>
          <w:b/>
          <w:color w:val="000000"/>
          <w:sz w:val="32"/>
          <w:szCs w:val="32"/>
        </w:rPr>
        <w:t>（二）“三公”经费财政拨款支出决算具体情况说明</w:t>
      </w:r>
      <w:bookmarkEnd w:id="5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42.15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94.27</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2.56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5.73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591185</wp:posOffset>
            </wp:positionH>
            <wp:positionV relativeFrom="paragraph">
              <wp:posOffset>57150</wp:posOffset>
            </wp:positionV>
            <wp:extent cx="4264660" cy="3108325"/>
            <wp:effectExtent l="4445" t="5080" r="17145" b="1079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42.15</w:t>
      </w:r>
      <w:r>
        <w:rPr>
          <w:rFonts w:hint="eastAsia" w:ascii="仿宋_GB2312" w:eastAsia="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77.08</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val="0"/>
          <w:color w:val="000000"/>
          <w:sz w:val="32"/>
          <w:szCs w:val="32"/>
        </w:rPr>
        <w:t>公务用车购置及运行维护费支出决算比2018</w:t>
      </w:r>
      <w:r>
        <w:rPr>
          <w:rFonts w:hint="eastAsia" w:ascii="仿宋_GB2312" w:eastAsia="仿宋_GB2312"/>
          <w:b w:val="0"/>
          <w:bCs w:val="0"/>
          <w:color w:val="000000"/>
          <w:sz w:val="32"/>
          <w:szCs w:val="32"/>
        </w:rPr>
        <w:t>年减少</w:t>
      </w:r>
      <w:r>
        <w:rPr>
          <w:rFonts w:hint="eastAsia" w:ascii="仿宋_GB2312" w:eastAsia="仿宋_GB2312"/>
          <w:b w:val="0"/>
          <w:bCs w:val="0"/>
          <w:color w:val="000000"/>
          <w:sz w:val="32"/>
          <w:szCs w:val="32"/>
          <w:lang w:val="en-US" w:eastAsia="zh-CN"/>
        </w:rPr>
        <w:t>3.03</w:t>
      </w:r>
      <w:r>
        <w:rPr>
          <w:rFonts w:hint="eastAsia" w:ascii="仿宋_GB2312" w:eastAsia="仿宋_GB2312"/>
          <w:b w:val="0"/>
          <w:bCs w:val="0"/>
          <w:color w:val="000000"/>
          <w:sz w:val="32"/>
          <w:szCs w:val="32"/>
        </w:rPr>
        <w:t>万元，下降</w:t>
      </w:r>
      <w:r>
        <w:rPr>
          <w:rFonts w:hint="eastAsia" w:ascii="仿宋_GB2312" w:eastAsia="仿宋_GB2312"/>
          <w:b w:val="0"/>
          <w:bCs w:val="0"/>
          <w:color w:val="000000"/>
          <w:sz w:val="32"/>
          <w:szCs w:val="32"/>
          <w:lang w:val="en-US" w:eastAsia="zh-CN"/>
        </w:rPr>
        <w:t>6.71</w:t>
      </w:r>
      <w:r>
        <w:rPr>
          <w:rFonts w:ascii="仿宋_GB2312" w:eastAsia="仿宋_GB2312"/>
          <w:b w:val="0"/>
          <w:bCs w:val="0"/>
          <w:color w:val="000000"/>
          <w:sz w:val="32"/>
          <w:szCs w:val="32"/>
        </w:rPr>
        <w:t>%</w:t>
      </w:r>
      <w:r>
        <w:rPr>
          <w:rFonts w:hint="eastAsia" w:ascii="仿宋_GB2312" w:eastAsia="仿宋_GB2312"/>
          <w:b w:val="0"/>
          <w:bCs w:val="0"/>
          <w:color w:val="000000"/>
          <w:sz w:val="32"/>
          <w:szCs w:val="32"/>
        </w:rPr>
        <w:t>。主要原因是</w:t>
      </w:r>
      <w:r>
        <w:rPr>
          <w:rFonts w:hint="eastAsia" w:ascii="仿宋_GB2312" w:hAnsi="仿宋_GB2312" w:eastAsia="仿宋_GB2312" w:cs="仿宋_GB2312"/>
          <w:b w:val="0"/>
          <w:bCs w:val="0"/>
          <w:color w:val="auto"/>
          <w:sz w:val="32"/>
          <w:szCs w:val="32"/>
          <w:lang w:eastAsia="zh-CN"/>
        </w:rPr>
        <w:t>加强了车辆管理</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运行维护费支出</w:t>
      </w:r>
      <w:r>
        <w:rPr>
          <w:rFonts w:hint="eastAsia" w:ascii="仿宋_GB2312" w:eastAsia="仿宋_GB2312"/>
          <w:b w:val="0"/>
          <w:bCs w:val="0"/>
          <w:color w:val="000000"/>
          <w:sz w:val="32"/>
          <w:szCs w:val="32"/>
          <w:lang w:eastAsia="zh-CN"/>
        </w:rPr>
        <w:t>减少。</w:t>
      </w:r>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辆、执法执勤用车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、特种专业技术用车</w:t>
      </w:r>
      <w:r>
        <w:rPr>
          <w:rFonts w:hint="eastAsia" w:ascii="仿宋_GB2312" w:eastAsia="仿宋_GB2312"/>
          <w:color w:val="000000"/>
          <w:sz w:val="32"/>
          <w:szCs w:val="32"/>
          <w:lang w:val="en-US" w:eastAsia="zh-CN"/>
        </w:rPr>
        <w:t>4辆，其他用车9辆。</w:t>
      </w:r>
    </w:p>
    <w:p>
      <w:pPr>
        <w:spacing w:line="600" w:lineRule="exact"/>
        <w:ind w:firstLine="640"/>
        <w:rPr>
          <w:rFonts w:hint="eastAsia" w:ascii="仿宋_GB2312" w:hAnsi="仿宋_GB2312" w:eastAsia="仿宋_GB2312"/>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42.15</w:t>
      </w:r>
      <w:r>
        <w:rPr>
          <w:rFonts w:hint="eastAsia" w:ascii="仿宋_GB2312" w:eastAsia="仿宋_GB2312"/>
          <w:color w:val="000000"/>
          <w:sz w:val="32"/>
          <w:szCs w:val="32"/>
        </w:rPr>
        <w:t>万元。主要用于</w:t>
      </w:r>
      <w:r>
        <w:rPr>
          <w:rFonts w:hint="eastAsia" w:ascii="仿宋_GB2312" w:hAnsi="仿宋_GB2312" w:eastAsia="仿宋_GB2312"/>
          <w:sz w:val="32"/>
          <w:szCs w:val="32"/>
        </w:rPr>
        <w:t>防汛抗旱、农田水利建设、水土保持</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河道管理及水利工程项目调研、检查、绩效考评等所需的公务用车燃料费、维修费、过路过桥费、保险费等支出。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2.56</w:t>
      </w:r>
      <w:r>
        <w:rPr>
          <w:rFonts w:hint="eastAsia" w:ascii="仿宋_GB2312" w:eastAsia="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73.56</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公务接待费支出决算比2018年减少</w:t>
      </w:r>
      <w:r>
        <w:rPr>
          <w:rFonts w:hint="eastAsia" w:ascii="仿宋_GB2312" w:hAnsi="仿宋_GB2312" w:eastAsia="仿宋_GB2312" w:cs="仿宋_GB2312"/>
          <w:color w:val="000000"/>
          <w:sz w:val="32"/>
          <w:szCs w:val="32"/>
          <w:lang w:val="en-US" w:eastAsia="zh-CN"/>
        </w:rPr>
        <w:t>0.38</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12.9</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公务接待任务减少，</w:t>
      </w:r>
      <w:r>
        <w:rPr>
          <w:rFonts w:hint="eastAsia" w:ascii="仿宋_GB2312" w:eastAsia="仿宋_GB2312"/>
          <w:color w:val="000000"/>
          <w:sz w:val="32"/>
          <w:szCs w:val="32"/>
        </w:rPr>
        <w:t>其中：</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2.56</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145</w:t>
      </w:r>
      <w:r>
        <w:rPr>
          <w:rFonts w:hint="eastAsia" w:ascii="仿宋_GB2312" w:eastAsia="仿宋_GB2312"/>
          <w:color w:val="000000"/>
          <w:sz w:val="32"/>
          <w:szCs w:val="32"/>
        </w:rPr>
        <w:t>人次（</w:t>
      </w:r>
      <w:r>
        <w:rPr>
          <w:rFonts w:hint="eastAsia" w:ascii="仿宋_GB2312" w:eastAsia="仿宋_GB2312"/>
          <w:color w:val="000000"/>
          <w:sz w:val="32"/>
          <w:szCs w:val="32"/>
          <w:lang w:eastAsia="zh-CN"/>
        </w:rPr>
        <w:t>不</w:t>
      </w:r>
      <w:r>
        <w:rPr>
          <w:rFonts w:hint="eastAsia" w:ascii="仿宋_GB2312" w:eastAsia="仿宋_GB2312"/>
          <w:color w:val="000000"/>
          <w:sz w:val="32"/>
          <w:szCs w:val="32"/>
        </w:rPr>
        <w:t>包括陪同人员），共计支出</w:t>
      </w:r>
      <w:r>
        <w:rPr>
          <w:rFonts w:hint="eastAsia" w:ascii="仿宋_GB2312" w:eastAsia="仿宋_GB2312"/>
          <w:color w:val="000000"/>
          <w:sz w:val="32"/>
          <w:szCs w:val="32"/>
          <w:lang w:val="en-US" w:eastAsia="zh-CN"/>
        </w:rPr>
        <w:t>2.56</w:t>
      </w:r>
      <w:r>
        <w:rPr>
          <w:rFonts w:hint="eastAsia" w:ascii="仿宋_GB2312" w:eastAsia="仿宋_GB2312"/>
          <w:color w:val="000000"/>
          <w:sz w:val="32"/>
          <w:szCs w:val="32"/>
        </w:rPr>
        <w:t>万元，具体内容包括：</w:t>
      </w:r>
      <w:r>
        <w:rPr>
          <w:rFonts w:hint="eastAsia" w:ascii="仿宋_GB2312" w:hAnsi="仿宋_GB2312" w:eastAsia="仿宋_GB2312" w:cs="仿宋_GB2312"/>
          <w:color w:val="000000"/>
          <w:sz w:val="32"/>
          <w:szCs w:val="32"/>
          <w:shd w:val="clear" w:color="auto" w:fill="FFFFFF"/>
        </w:rPr>
        <w:t>接待省上和省内其他市州领导来攀考察调研</w:t>
      </w:r>
      <w:r>
        <w:rPr>
          <w:rFonts w:hint="eastAsia" w:ascii="仿宋_GB2312" w:hAnsi="仿宋_GB2312" w:eastAsia="仿宋_GB2312"/>
          <w:sz w:val="32"/>
          <w:szCs w:val="32"/>
        </w:rPr>
        <w:t>农田水利建设</w:t>
      </w:r>
      <w:r>
        <w:rPr>
          <w:rFonts w:hint="eastAsia" w:ascii="仿宋_GB2312" w:hAnsi="仿宋_GB2312" w:eastAsia="仿宋_GB2312" w:cs="仿宋_GB2312"/>
          <w:color w:val="000000"/>
          <w:sz w:val="32"/>
          <w:szCs w:val="32"/>
          <w:shd w:val="clear" w:color="auto" w:fill="FFFFFF"/>
          <w:lang w:eastAsia="zh-CN"/>
        </w:rPr>
        <w:t>、水土保持</w:t>
      </w:r>
      <w:r>
        <w:rPr>
          <w:rFonts w:hint="eastAsia" w:ascii="仿宋_GB2312" w:hAnsi="仿宋_GB2312" w:eastAsia="仿宋_GB2312" w:cs="仿宋_GB2312"/>
          <w:color w:val="000000"/>
          <w:sz w:val="32"/>
          <w:szCs w:val="32"/>
          <w:shd w:val="clear" w:color="auto" w:fill="FFFFFF"/>
        </w:rPr>
        <w:t>及防汛抗旱检查工作等</w:t>
      </w:r>
      <w:r>
        <w:rPr>
          <w:rFonts w:hint="eastAsia" w:ascii="仿宋_GB2312" w:hAnsi="仿宋_GB2312" w:eastAsia="仿宋_GB2312" w:cs="仿宋_GB2312"/>
          <w:color w:val="000000"/>
          <w:sz w:val="32"/>
          <w:szCs w:val="32"/>
          <w:shd w:val="clear" w:color="auto" w:fill="FFFFFF"/>
          <w:lang w:eastAsia="zh-CN"/>
        </w:rPr>
        <w:t>。</w:t>
      </w:r>
    </w:p>
    <w:p>
      <w:pPr>
        <w:spacing w:line="600" w:lineRule="exact"/>
        <w:ind w:firstLine="640"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54" w:name="_Toc15396610"/>
      <w:bookmarkStart w:id="55"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54"/>
      <w:bookmarkEnd w:id="5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364.32</w:t>
      </w:r>
      <w:r>
        <w:rPr>
          <w:rFonts w:hint="eastAsia" w:ascii="仿宋_GB2312" w:eastAsia="仿宋_GB2312"/>
          <w:color w:val="000000"/>
          <w:sz w:val="32"/>
          <w:szCs w:val="32"/>
        </w:rPr>
        <w:t>万元。</w:t>
      </w:r>
    </w:p>
    <w:p>
      <w:pPr>
        <w:numPr>
          <w:ilvl w:val="0"/>
          <w:numId w:val="3"/>
        </w:numPr>
        <w:spacing w:line="600" w:lineRule="exact"/>
        <w:ind w:firstLine="640"/>
        <w:outlineLvl w:val="1"/>
        <w:rPr>
          <w:rStyle w:val="26"/>
          <w:rFonts w:ascii="黑体" w:hAnsi="黑体" w:eastAsia="黑体"/>
          <w:b w:val="0"/>
        </w:rPr>
      </w:pPr>
      <w:bookmarkStart w:id="56" w:name="_Toc15377219"/>
      <w:bookmarkStart w:id="57" w:name="_Toc15396611"/>
      <w:r>
        <w:rPr>
          <w:rStyle w:val="26"/>
          <w:rFonts w:hint="eastAsia" w:ascii="黑体" w:hAnsi="黑体" w:eastAsia="黑体"/>
          <w:b w:val="0"/>
        </w:rPr>
        <w:t>国有资本经营预算支出决算情况说明</w:t>
      </w:r>
      <w:bookmarkEnd w:id="56"/>
      <w:bookmarkEnd w:id="5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left="0" w:leftChars="0" w:firstLine="640" w:firstLineChars="0"/>
        <w:outlineLvl w:val="1"/>
        <w:rPr>
          <w:rStyle w:val="26"/>
          <w:rFonts w:hint="eastAsia" w:ascii="黑体" w:hAnsi="黑体" w:eastAsia="黑体"/>
          <w:b w:val="0"/>
        </w:rPr>
      </w:pPr>
      <w:bookmarkStart w:id="58" w:name="_Toc15396612"/>
      <w:bookmarkStart w:id="59" w:name="_Toc15377221"/>
      <w:r>
        <w:rPr>
          <w:rStyle w:val="26"/>
          <w:rFonts w:hint="eastAsia" w:ascii="黑体" w:hAnsi="黑体" w:eastAsia="黑体"/>
          <w:b w:val="0"/>
        </w:rPr>
        <w:t>其他重要事项的情况说明</w:t>
      </w:r>
      <w:bookmarkEnd w:id="58"/>
      <w:bookmarkEnd w:id="59"/>
    </w:p>
    <w:p>
      <w:pPr>
        <w:spacing w:line="600" w:lineRule="exact"/>
        <w:ind w:firstLine="640" w:firstLineChars="200"/>
        <w:outlineLvl w:val="2"/>
        <w:rPr>
          <w:rFonts w:ascii="仿宋" w:hAnsi="仿宋" w:eastAsia="仿宋"/>
          <w:color w:val="000000"/>
          <w:sz w:val="32"/>
          <w:szCs w:val="32"/>
        </w:rPr>
      </w:pPr>
      <w:bookmarkStart w:id="60" w:name="_Toc15377222"/>
      <w:r>
        <w:rPr>
          <w:rFonts w:hint="eastAsia" w:ascii="仿宋" w:hAnsi="仿宋" w:eastAsia="仿宋"/>
          <w:b/>
          <w:color w:val="000000"/>
          <w:sz w:val="32"/>
          <w:szCs w:val="32"/>
        </w:rPr>
        <w:t>（一）机关运行经费支出情况</w:t>
      </w:r>
      <w:bookmarkEnd w:id="60"/>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攀枝花市水利局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183.81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10.07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5.80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8年决算数持平）。</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机构改革，机关人员调整，办公运行经费增加。</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61" w:name="_Toc15377223"/>
      <w:r>
        <w:rPr>
          <w:rFonts w:hint="eastAsia" w:ascii="仿宋" w:hAnsi="仿宋" w:eastAsia="仿宋"/>
          <w:b/>
          <w:color w:val="000000"/>
          <w:sz w:val="32"/>
          <w:szCs w:val="32"/>
        </w:rPr>
        <w:t>（二）政府采购支出情况</w:t>
      </w:r>
      <w:bookmarkEnd w:id="6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攀枝花市水利局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342.40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31.12</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132.62</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178.66</w:t>
      </w:r>
      <w:r>
        <w:rPr>
          <w:rFonts w:hint="eastAsia" w:ascii="仿宋_GB2312" w:eastAsia="仿宋_GB2312"/>
          <w:color w:val="000000"/>
          <w:sz w:val="32"/>
          <w:szCs w:val="32"/>
        </w:rPr>
        <w:t>万元。主要用于江河水域岸线规划和划界</w:t>
      </w:r>
      <w:r>
        <w:rPr>
          <w:rFonts w:hint="eastAsia" w:ascii="仿宋_GB2312" w:eastAsia="仿宋_GB2312"/>
          <w:color w:val="000000"/>
          <w:sz w:val="32"/>
          <w:szCs w:val="32"/>
          <w:lang w:eastAsia="zh-CN"/>
        </w:rPr>
        <w:t>、防汛抗旱指挥系统升级等工作项目</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62" w:name="_Toc15377224"/>
      <w:r>
        <w:rPr>
          <w:rFonts w:hint="eastAsia" w:ascii="仿宋" w:hAnsi="仿宋" w:eastAsia="仿宋"/>
          <w:b/>
          <w:color w:val="000000"/>
          <w:sz w:val="32"/>
          <w:szCs w:val="32"/>
        </w:rPr>
        <w:t>（三）国有资产占有使用情况</w:t>
      </w:r>
      <w:bookmarkEnd w:id="62"/>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val="en-US"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攀枝花市水利局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辆、执法执勤用车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、特种专业技术用车</w:t>
      </w:r>
      <w:r>
        <w:rPr>
          <w:rFonts w:hint="eastAsia" w:ascii="仿宋_GB2312" w:eastAsia="仿宋_GB2312"/>
          <w:color w:val="000000"/>
          <w:sz w:val="32"/>
          <w:szCs w:val="32"/>
          <w:lang w:val="en-US" w:eastAsia="zh-CN"/>
        </w:rPr>
        <w:t>4辆，其他用车9辆。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hAnsi="仿宋_GB2312" w:eastAsia="仿宋_GB2312"/>
          <w:sz w:val="32"/>
          <w:szCs w:val="32"/>
        </w:rPr>
        <w:t>农田水利建设、水土保持</w:t>
      </w:r>
      <w:r>
        <w:rPr>
          <w:rFonts w:hint="eastAsia" w:ascii="仿宋_GB2312" w:hAnsi="仿宋_GB2312" w:eastAsia="仿宋_GB2312"/>
          <w:sz w:val="32"/>
          <w:szCs w:val="32"/>
          <w:lang w:eastAsia="zh-CN"/>
        </w:rPr>
        <w:t>、</w:t>
      </w:r>
      <w:r>
        <w:rPr>
          <w:rFonts w:hint="eastAsia" w:ascii="仿宋_GB2312" w:hAnsi="仿宋_GB2312" w:eastAsia="仿宋_GB2312" w:cs="仿宋_GB2312"/>
          <w:b w:val="0"/>
          <w:i w:val="0"/>
          <w:caps w:val="0"/>
          <w:color w:val="5E5E5E"/>
          <w:spacing w:val="0"/>
          <w:sz w:val="32"/>
          <w:szCs w:val="32"/>
          <w:shd w:val="clear" w:color="auto" w:fill="FFFFFF"/>
        </w:rPr>
        <w:t>河道管理及水利工程项目调研、检查、绩效考评</w:t>
      </w:r>
      <w:r>
        <w:rPr>
          <w:rFonts w:hint="eastAsia" w:ascii="仿宋_GB2312" w:hAnsi="仿宋_GB2312" w:eastAsia="仿宋_GB2312" w:cs="仿宋_GB2312"/>
          <w:b w:val="0"/>
          <w:i w:val="0"/>
          <w:caps w:val="0"/>
          <w:color w:val="5E5E5E"/>
          <w:spacing w:val="0"/>
          <w:sz w:val="32"/>
          <w:szCs w:val="32"/>
          <w:shd w:val="clear" w:color="auto" w:fill="FFFFFF"/>
          <w:lang w:eastAsia="zh-CN"/>
        </w:rPr>
        <w:t>等工作需要。</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lang w:val="en-US" w:eastAsia="zh-CN"/>
        </w:rPr>
        <w:t xml:space="preserve"> </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根据预算绩效管理要求，本部门（单位）在年初预算编制阶段，组织对</w:t>
      </w:r>
      <w:r>
        <w:rPr>
          <w:rFonts w:hint="eastAsia" w:ascii="仿宋_GB2312" w:hAnsi="仿宋_GB2312" w:eastAsia="仿宋_GB2312" w:cs="仿宋_GB2312"/>
          <w:color w:val="auto"/>
          <w:sz w:val="32"/>
          <w:szCs w:val="32"/>
          <w:lang w:eastAsia="zh-CN"/>
        </w:rPr>
        <w:t>市级防汛物资储备经费项目</w:t>
      </w:r>
      <w:r>
        <w:rPr>
          <w:rFonts w:hint="eastAsia" w:ascii="仿宋_GB2312" w:hAnsi="仿宋_GB2312" w:eastAsia="仿宋_GB2312" w:cs="仿宋_GB2312"/>
          <w:color w:val="auto"/>
          <w:sz w:val="32"/>
          <w:szCs w:val="32"/>
        </w:rPr>
        <w:t>开展了预算事前绩效评估，对</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个项目开展了绩效目标完成情况自评。</w:t>
      </w:r>
    </w:p>
    <w:p>
      <w:pPr>
        <w:pStyle w:val="7"/>
        <w:spacing w:line="600" w:lineRule="exact"/>
        <w:ind w:firstLine="640" w:firstLineChars="200"/>
        <w:jc w:val="left"/>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eastAsia="zh-CN"/>
        </w:rPr>
        <w:t>本部门能</w:t>
      </w:r>
      <w:r>
        <w:rPr>
          <w:rFonts w:hint="eastAsia" w:ascii="仿宋_GB2312" w:hAnsi="仿宋_GB2312" w:eastAsia="仿宋_GB2312" w:cs="仿宋_GB2312"/>
          <w:color w:val="000000"/>
          <w:kern w:val="0"/>
          <w:sz w:val="32"/>
          <w:szCs w:val="32"/>
          <w:shd w:val="clear" w:color="auto" w:fill="FFFFFF"/>
          <w:lang w:val="zh-CN"/>
        </w:rPr>
        <w:t>按照预算要求，</w:t>
      </w:r>
      <w:r>
        <w:rPr>
          <w:rFonts w:hint="default" w:ascii="仿宋_GB2312" w:hAnsi="仿宋_GB2312" w:eastAsia="仿宋_GB2312" w:cs="仿宋_GB2312"/>
          <w:sz w:val="32"/>
          <w:szCs w:val="32"/>
          <w:lang w:val="en-US" w:eastAsia="zh-CN"/>
        </w:rPr>
        <w:t>规范编制基本</w:t>
      </w:r>
      <w:r>
        <w:rPr>
          <w:rFonts w:hint="eastAsia" w:ascii="仿宋_GB2312" w:hAnsi="仿宋_GB2312" w:eastAsia="仿宋_GB2312" w:cs="仿宋_GB2312"/>
          <w:sz w:val="32"/>
          <w:szCs w:val="32"/>
          <w:lang w:val="en-US" w:eastAsia="zh-CN"/>
        </w:rPr>
        <w:t>支</w:t>
      </w:r>
      <w:r>
        <w:rPr>
          <w:rFonts w:hint="default" w:ascii="仿宋_GB2312" w:hAnsi="仿宋_GB2312" w:eastAsia="仿宋_GB2312" w:cs="仿宋_GB2312"/>
          <w:sz w:val="32"/>
          <w:szCs w:val="32"/>
          <w:lang w:val="en-US" w:eastAsia="zh-CN"/>
        </w:rPr>
        <w:t>出和项目</w:t>
      </w:r>
      <w:r>
        <w:rPr>
          <w:rFonts w:hint="eastAsia" w:ascii="仿宋_GB2312" w:hAnsi="仿宋_GB2312" w:eastAsia="仿宋_GB2312" w:cs="仿宋_GB2312"/>
          <w:sz w:val="32"/>
          <w:szCs w:val="32"/>
          <w:lang w:val="en-US" w:eastAsia="zh-CN"/>
        </w:rPr>
        <w:t>支</w:t>
      </w:r>
      <w:r>
        <w:rPr>
          <w:rFonts w:hint="default"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lang w:val="en-US" w:eastAsia="zh-CN"/>
        </w:rPr>
        <w:t>预算，认真</w:t>
      </w:r>
      <w:r>
        <w:rPr>
          <w:rFonts w:hint="eastAsia" w:ascii="仿宋_GB2312" w:hAnsi="仿宋_GB2312" w:eastAsia="仿宋_GB2312" w:cs="仿宋_GB2312"/>
          <w:kern w:val="0"/>
          <w:sz w:val="32"/>
          <w:szCs w:val="32"/>
          <w:shd w:val="clear" w:color="auto" w:fill="FFFFFF"/>
          <w:lang w:val="zh-CN"/>
        </w:rPr>
        <w:t>贯彻落实国务院、政府工作报告各级政府要坚持过紧日子精神，合理使用财政资金</w:t>
      </w:r>
      <w:r>
        <w:rPr>
          <w:rFonts w:hint="eastAsia" w:ascii="仿宋_GB2312" w:hAnsi="仿宋_GB2312" w:eastAsia="仿宋_GB2312" w:cs="仿宋_GB2312"/>
          <w:color w:val="000000"/>
          <w:kern w:val="0"/>
          <w:sz w:val="32"/>
          <w:szCs w:val="32"/>
          <w:shd w:val="clear" w:color="auto" w:fill="FFFFFF"/>
          <w:lang w:val="zh-CN"/>
        </w:rPr>
        <w:t>，无超预算、无预算支出，无虚列支出、转移或者套取财政资金情况。</w:t>
      </w:r>
      <w:r>
        <w:rPr>
          <w:rFonts w:hint="eastAsia" w:ascii="仿宋_GB2312" w:hAnsi="仿宋_GB2312" w:eastAsia="仿宋_GB2312" w:cs="仿宋_GB2312"/>
          <w:sz w:val="32"/>
          <w:szCs w:val="32"/>
        </w:rPr>
        <w:t>未发现违规违纪情况。本部门还自行组织了</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eastAsia="zh-CN"/>
        </w:rPr>
        <w:t>各项目执行中能</w:t>
      </w:r>
      <w:r>
        <w:rPr>
          <w:rFonts w:hint="eastAsia" w:ascii="Times New Roman" w:hAnsi="Times New Roman" w:eastAsia="仿宋_GB2312" w:cs="Times New Roman"/>
          <w:sz w:val="32"/>
          <w:szCs w:val="32"/>
          <w:lang w:val="en-US" w:eastAsia="zh-CN"/>
        </w:rPr>
        <w:t>较好地完成了</w:t>
      </w:r>
      <w:r>
        <w:rPr>
          <w:rFonts w:hint="default" w:ascii="Times New Roman" w:hAnsi="Times New Roman" w:eastAsia="仿宋_GB2312" w:cs="Times New Roman"/>
          <w:sz w:val="32"/>
          <w:szCs w:val="32"/>
        </w:rPr>
        <w:t>数量指标、质量指标、时效指标</w:t>
      </w:r>
      <w:r>
        <w:rPr>
          <w:rFonts w:hint="eastAsia" w:ascii="Times New Roman" w:hAnsi="Times New Roman" w:eastAsia="仿宋_GB2312" w:cs="Times New Roman"/>
          <w:sz w:val="32"/>
          <w:szCs w:val="32"/>
          <w:lang w:eastAsia="zh-CN"/>
        </w:rPr>
        <w:t>的指标值。</w:t>
      </w:r>
      <w:r>
        <w:rPr>
          <w:rFonts w:hint="eastAsia" w:ascii="Times New Roman" w:hAnsi="Times New Roman" w:eastAsia="仿宋_GB2312" w:cs="Times New Roman"/>
          <w:sz w:val="32"/>
          <w:szCs w:val="32"/>
          <w:lang w:val="en-US" w:eastAsia="zh-CN"/>
        </w:rPr>
        <w:t>达到设定的</w:t>
      </w:r>
      <w:r>
        <w:rPr>
          <w:rFonts w:hint="default" w:ascii="Times New Roman" w:hAnsi="Times New Roman" w:eastAsia="仿宋_GB2312" w:cs="Times New Roman"/>
          <w:sz w:val="32"/>
          <w:szCs w:val="32"/>
        </w:rPr>
        <w:t>社会效益</w:t>
      </w:r>
      <w:r>
        <w:rPr>
          <w:rFonts w:hint="eastAsia" w:ascii="Times New Roman" w:hAnsi="Times New Roman" w:eastAsia="仿宋_GB2312" w:cs="Times New Roman"/>
          <w:sz w:val="32"/>
          <w:szCs w:val="32"/>
          <w:lang w:val="en-US" w:eastAsia="zh-CN"/>
        </w:rPr>
        <w:t>指标值，顺利完成各项工作目标，提高了公众对水资源、水生态保护的意识。</w:t>
      </w:r>
      <w:r>
        <w:rPr>
          <w:rFonts w:hint="eastAsia" w:ascii="Times New Roman" w:hAnsi="Times New Roman" w:eastAsia="仿宋_GB2312" w:cs="Times New Roman"/>
          <w:sz w:val="32"/>
          <w:szCs w:val="32"/>
          <w:lang w:eastAsia="zh-CN"/>
        </w:rPr>
        <w:t>但因部分项目</w:t>
      </w:r>
      <w:r>
        <w:rPr>
          <w:rFonts w:hint="eastAsia" w:ascii="仿宋_GB2312" w:hAnsi="仿宋_GB2312" w:eastAsia="仿宋_GB2312" w:cs="仿宋_GB2312"/>
          <w:color w:val="auto"/>
          <w:kern w:val="0"/>
          <w:sz w:val="32"/>
          <w:szCs w:val="32"/>
          <w:lang w:val="en-US" w:eastAsia="zh-CN"/>
        </w:rPr>
        <w:t>支付滞后影响了</w:t>
      </w:r>
      <w:r>
        <w:rPr>
          <w:rFonts w:hint="default" w:ascii="Times New Roman" w:hAnsi="Times New Roman" w:eastAsia="仿宋_GB2312" w:cs="Times New Roman"/>
          <w:sz w:val="32"/>
          <w:szCs w:val="32"/>
        </w:rPr>
        <w:t>成本指标</w:t>
      </w:r>
      <w:r>
        <w:rPr>
          <w:rFonts w:hint="eastAsia" w:ascii="Times New Roman" w:hAnsi="Times New Roman" w:eastAsia="仿宋_GB2312" w:cs="Times New Roman"/>
          <w:sz w:val="32"/>
          <w:szCs w:val="32"/>
          <w:lang w:eastAsia="zh-CN"/>
        </w:rPr>
        <w:t>的完成</w:t>
      </w:r>
      <w:r>
        <w:rPr>
          <w:rFonts w:hint="default" w:ascii="Times New Roman" w:hAnsi="Times New Roman" w:eastAsia="仿宋_GB2312" w:cs="Times New Roman"/>
          <w:sz w:val="32"/>
          <w:szCs w:val="32"/>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本部门在2019年度部门决算中反映“业务运行费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市级防汛物资储备经费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“水土保持监测（收入征管成本支出）”</w:t>
      </w:r>
      <w:r>
        <w:rPr>
          <w:rFonts w:hint="eastAsia" w:ascii="仿宋_GB2312" w:hAnsi="仿宋_GB2312" w:eastAsia="仿宋_GB2312" w:cs="仿宋_GB2312"/>
          <w:sz w:val="32"/>
          <w:szCs w:val="32"/>
          <w:lang w:eastAsia="zh-CN"/>
        </w:rPr>
        <w:t>“水库动态监管预警系统建设项目”、“维修养护经费”</w:t>
      </w:r>
      <w:r>
        <w:rPr>
          <w:rFonts w:hint="eastAsia" w:ascii="仿宋_GB2312" w:hAnsi="仿宋_GB2312" w:eastAsia="仿宋_GB2312" w:cs="仿宋_GB2312"/>
          <w:sz w:val="32"/>
          <w:szCs w:val="32"/>
        </w:rPr>
        <w:t>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sz w:val="32"/>
          <w:szCs w:val="32"/>
        </w:rPr>
        <w:t>个项目绩效目标实际完成情况。</w:t>
      </w:r>
      <w:r>
        <w:rPr>
          <w:rFonts w:hint="eastAsia" w:ascii="仿宋_GB2312" w:hAnsi="仿宋_GB2312" w:eastAsia="仿宋_GB2312" w:cs="仿宋_GB2312"/>
          <w:sz w:val="32"/>
          <w:szCs w:val="32"/>
          <w:lang w:eastAsia="zh-CN"/>
        </w:rPr>
        <w:t>　</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（1）业务运行费项目绩效目标完成情况综述。项目全年预算数</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%。通过项目实施，完成省、市各项目标任务。</w:t>
      </w:r>
      <w:r>
        <w:rPr>
          <w:rFonts w:hint="eastAsia" w:ascii="仿宋_GB2312" w:hAnsi="仿宋_GB2312" w:eastAsia="仿宋_GB2312" w:cs="仿宋_GB2312"/>
          <w:sz w:val="32"/>
          <w:szCs w:val="32"/>
          <w:lang w:eastAsia="zh-CN"/>
        </w:rPr>
        <w:t>　</w:t>
      </w:r>
    </w:p>
    <w:p>
      <w:pPr>
        <w:adjustRightInd w:val="0"/>
        <w:snapToGrid w:val="0"/>
        <w:spacing w:line="600" w:lineRule="exact"/>
        <w:ind w:firstLine="720"/>
        <w:rPr>
          <w:rFonts w:hint="default"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（2）市级防汛物资储备经费项目绩效目标完成情况综述。项目全年预算数</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99.6</w:t>
      </w:r>
      <w:r>
        <w:rPr>
          <w:rFonts w:hint="eastAsia" w:ascii="仿宋_GB2312" w:hAnsi="仿宋_GB2312" w:eastAsia="仿宋_GB2312" w:cs="仿宋_GB2312"/>
          <w:sz w:val="32"/>
          <w:szCs w:val="32"/>
        </w:rPr>
        <w:t>%。通过项目实施，为2019年防汛提供实物物资、协议设备和物资、抢险油料</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w:t>
      </w:r>
      <w:r>
        <w:rPr>
          <w:rFonts w:hint="eastAsia" w:ascii="仿宋_GB2312" w:eastAsia="仿宋_GB2312"/>
          <w:color w:val="000000" w:themeColor="text1"/>
          <w:sz w:val="32"/>
          <w:szCs w:val="32"/>
          <w:lang w:eastAsia="zh-CN"/>
          <w14:textFill>
            <w14:solidFill>
              <w14:schemeClr w14:val="tx1"/>
            </w14:solidFill>
          </w14:textFill>
        </w:rPr>
        <w:t>提升我市抵御自然灾害的能力</w:t>
      </w:r>
      <w:r>
        <w:rPr>
          <w:rFonts w:hint="eastAsia" w:ascii="仿宋_GB2312" w:hAnsi="宋体" w:eastAsia="仿宋_GB2312"/>
          <w:color w:val="000000" w:themeColor="text1"/>
          <w:sz w:val="32"/>
          <w:szCs w:val="32"/>
          <w:lang w:val="en-US" w:eastAsia="zh-CN"/>
          <w14:textFill>
            <w14:solidFill>
              <w14:schemeClr w14:val="tx1"/>
            </w14:solidFill>
          </w14:textFill>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（3）水土保持监测项目绩效目标完成情况综述。项目全年预算数</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%。通过项目实施，完成3个项目水土保持设施验收及备案工作，2个生产建设项目水土保持方案编制工作，1个水土保持设施验收工作。</w:t>
      </w:r>
      <w:r>
        <w:rPr>
          <w:rFonts w:hint="eastAsia" w:ascii="仿宋_GB2312" w:hAnsi="仿宋_GB2312" w:eastAsia="仿宋_GB2312" w:cs="仿宋_GB2312"/>
          <w:sz w:val="32"/>
          <w:szCs w:val="32"/>
          <w:lang w:eastAsia="zh-CN"/>
        </w:rPr>
        <w:t>　</w:t>
      </w:r>
    </w:p>
    <w:p>
      <w:pPr>
        <w:spacing w:line="580" w:lineRule="exact"/>
        <w:ind w:firstLine="640" w:firstLineChars="200"/>
        <w:rPr>
          <w:rFonts w:hint="eastAsia" w:eastAsia="仿宋_GB2312" w:cs="Times New Roman"/>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）水库动态监管预警系统建设</w:t>
      </w:r>
      <w:r>
        <w:rPr>
          <w:rFonts w:hint="eastAsia" w:ascii="Times New Roman" w:hAnsi="Times New Roman" w:eastAsia="仿宋_GB2312" w:cs="Times New Roman"/>
          <w:sz w:val="32"/>
          <w:szCs w:val="32"/>
        </w:rPr>
        <w:t>项目绩效目标完成情况综述。项目全年预算数</w:t>
      </w:r>
      <w:r>
        <w:rPr>
          <w:rFonts w:hint="eastAsia" w:eastAsia="仿宋_GB2312" w:cs="Times New Roman"/>
          <w:sz w:val="32"/>
          <w:szCs w:val="32"/>
          <w:lang w:val="en-US" w:eastAsia="zh-CN"/>
        </w:rPr>
        <w:t>13.11</w:t>
      </w:r>
      <w:r>
        <w:rPr>
          <w:rFonts w:hint="eastAsia" w:ascii="Times New Roman" w:hAnsi="Times New Roman" w:eastAsia="仿宋_GB2312" w:cs="Times New Roman"/>
          <w:sz w:val="32"/>
          <w:szCs w:val="32"/>
        </w:rPr>
        <w:t>万元，执行数为</w:t>
      </w:r>
      <w:r>
        <w:rPr>
          <w:rFonts w:hint="eastAsia" w:eastAsia="仿宋_GB2312" w:cs="Times New Roman"/>
          <w:sz w:val="32"/>
          <w:szCs w:val="32"/>
          <w:lang w:val="en-US" w:eastAsia="zh-CN"/>
        </w:rPr>
        <w:t>13.11</w:t>
      </w:r>
      <w:r>
        <w:rPr>
          <w:rFonts w:hint="eastAsia" w:ascii="Times New Roman" w:hAnsi="Times New Roman" w:eastAsia="仿宋_GB2312" w:cs="Times New Roman"/>
          <w:sz w:val="32"/>
          <w:szCs w:val="32"/>
        </w:rPr>
        <w:t>万元，完成预算的</w:t>
      </w:r>
      <w:r>
        <w:rPr>
          <w:rFonts w:hint="eastAsia" w:eastAsia="仿宋_GB2312" w:cs="Times New Roman"/>
          <w:sz w:val="32"/>
          <w:szCs w:val="32"/>
          <w:lang w:val="en-US" w:eastAsia="zh-CN"/>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。通过项目实施，完成2座水库动态监管预警系统建设</w:t>
      </w:r>
      <w:r>
        <w:rPr>
          <w:rFonts w:hint="eastAsia" w:eastAsia="仿宋_GB2312" w:cs="Times New Roman"/>
          <w:sz w:val="32"/>
          <w:szCs w:val="32"/>
          <w:lang w:eastAsia="zh-CN"/>
        </w:rPr>
        <w:t>。　</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w:t>
      </w:r>
      <w:r>
        <w:rPr>
          <w:rFonts w:hint="eastAsia" w:eastAsia="仿宋_GB2312" w:cs="Times New Roman"/>
          <w:sz w:val="32"/>
          <w:szCs w:val="32"/>
          <w:lang w:val="en-US" w:eastAsia="zh-CN"/>
        </w:rPr>
        <w:t>5</w:t>
      </w:r>
      <w:r>
        <w:rPr>
          <w:rFonts w:hint="eastAsia" w:eastAsia="仿宋_GB2312" w:cs="Times New Roman"/>
          <w:sz w:val="32"/>
          <w:szCs w:val="32"/>
          <w:lang w:eastAsia="zh-CN"/>
        </w:rPr>
        <w:t>）</w:t>
      </w:r>
      <w:r>
        <w:rPr>
          <w:rFonts w:hint="eastAsia" w:ascii="仿宋_GB2312" w:hAnsi="仿宋_GB2312" w:eastAsia="仿宋_GB2312" w:cs="仿宋_GB2312"/>
          <w:sz w:val="32"/>
          <w:szCs w:val="32"/>
          <w:lang w:eastAsia="zh-CN"/>
        </w:rPr>
        <w:t>维修养护经费</w:t>
      </w:r>
      <w:r>
        <w:rPr>
          <w:rFonts w:hint="eastAsia" w:ascii="Times New Roman" w:hAnsi="Times New Roman" w:eastAsia="仿宋_GB2312" w:cs="Times New Roman"/>
          <w:sz w:val="32"/>
          <w:szCs w:val="32"/>
        </w:rPr>
        <w:t>项目绩效目标完成情况综述。项目全年预算数</w:t>
      </w:r>
      <w:r>
        <w:rPr>
          <w:rFonts w:hint="eastAsia" w:eastAsia="仿宋_GB2312" w:cs="Times New Roman"/>
          <w:sz w:val="32"/>
          <w:szCs w:val="32"/>
          <w:lang w:val="en-US" w:eastAsia="zh-CN"/>
        </w:rPr>
        <w:t>80</w:t>
      </w:r>
      <w:r>
        <w:rPr>
          <w:rFonts w:hint="eastAsia" w:ascii="Times New Roman" w:hAnsi="Times New Roman" w:eastAsia="仿宋_GB2312" w:cs="Times New Roman"/>
          <w:sz w:val="32"/>
          <w:szCs w:val="32"/>
        </w:rPr>
        <w:t>万元，执行数为</w:t>
      </w:r>
      <w:r>
        <w:rPr>
          <w:rFonts w:hint="eastAsia" w:eastAsia="仿宋_GB2312" w:cs="Times New Roman"/>
          <w:sz w:val="32"/>
          <w:szCs w:val="32"/>
          <w:lang w:val="en-US" w:eastAsia="zh-CN"/>
        </w:rPr>
        <w:t>80</w:t>
      </w:r>
      <w:r>
        <w:rPr>
          <w:rFonts w:hint="eastAsia" w:ascii="Times New Roman" w:hAnsi="Times New Roman" w:eastAsia="仿宋_GB2312" w:cs="Times New Roman"/>
          <w:sz w:val="32"/>
          <w:szCs w:val="32"/>
        </w:rPr>
        <w:t>万元，完成预算的</w:t>
      </w:r>
      <w:r>
        <w:rPr>
          <w:rFonts w:hint="eastAsia" w:eastAsia="仿宋_GB2312" w:cs="Times New Roman"/>
          <w:sz w:val="32"/>
          <w:szCs w:val="32"/>
          <w:lang w:val="en-US" w:eastAsia="zh-CN"/>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。通过项目实施，完成胜利水库渠道水口加固改造、胜利水库用电线路、防汛抢险道路等维修改造、胜利水库大坝坝坡除草、水库绿化管护、渠道维修养护，确保水库正常运行</w:t>
      </w:r>
      <w:r>
        <w:rPr>
          <w:rFonts w:hint="eastAsia" w:eastAsia="仿宋_GB2312" w:cs="Times New Roman"/>
          <w:sz w:val="32"/>
          <w:szCs w:val="32"/>
          <w:lang w:eastAsia="zh-CN"/>
        </w:rPr>
        <w:t>。</w:t>
      </w:r>
    </w:p>
    <w:tbl>
      <w:tblPr>
        <w:tblStyle w:val="13"/>
        <w:tblpPr w:leftFromText="180" w:rightFromText="180" w:vertAnchor="text" w:horzAnchor="page" w:tblpX="1144" w:tblpY="429"/>
        <w:tblOverlap w:val="never"/>
        <w:tblW w:w="9960" w:type="dxa"/>
        <w:jc w:val="center"/>
        <w:tblLayout w:type="fixed"/>
        <w:tblCellMar>
          <w:top w:w="0" w:type="dxa"/>
          <w:left w:w="0" w:type="dxa"/>
          <w:bottom w:w="0" w:type="dxa"/>
          <w:right w:w="0" w:type="dxa"/>
        </w:tblCellMar>
      </w:tblPr>
      <w:tblGrid>
        <w:gridCol w:w="390"/>
        <w:gridCol w:w="1367"/>
        <w:gridCol w:w="1213"/>
        <w:gridCol w:w="2204"/>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97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990"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业务运行费</w:t>
            </w:r>
          </w:p>
        </w:tc>
      </w:tr>
      <w:tr>
        <w:tblPrEx>
          <w:tblCellMar>
            <w:top w:w="0" w:type="dxa"/>
            <w:left w:w="0" w:type="dxa"/>
            <w:bottom w:w="0" w:type="dxa"/>
            <w:right w:w="0" w:type="dxa"/>
          </w:tblCellMar>
        </w:tblPrEx>
        <w:trPr>
          <w:trHeight w:val="276" w:hRule="atLeast"/>
          <w:jc w:val="center"/>
        </w:trPr>
        <w:tc>
          <w:tcPr>
            <w:tcW w:w="297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990"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攀枝花市水利局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58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204"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4"/>
              </w:rPr>
            </w:pPr>
          </w:p>
        </w:tc>
        <w:tc>
          <w:tcPr>
            <w:tcW w:w="258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04"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4"/>
              </w:rPr>
            </w:pPr>
          </w:p>
        </w:tc>
        <w:tc>
          <w:tcPr>
            <w:tcW w:w="258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04"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2004"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完成省、市各项目标任务。</w:t>
            </w:r>
          </w:p>
        </w:tc>
        <w:tc>
          <w:tcPr>
            <w:tcW w:w="4786" w:type="dxa"/>
            <w:gridSpan w:val="2"/>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一、省级目标：1.提前超额完成观音岩引水工程年度投资任务；2.完成河长制湖长制年度考核任务。3.水土保持目标责任制考核得分率100%。二、市级目标：1.超额完成农村饮水安全巩固提升工程目标任务；2.完成年度水利基础设施建设。</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2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2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省、市各项工作任务</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完成省、市各项目标任务发生的支出。</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2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完成年度工作</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完成省、市各项目标任务</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2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2019年12月底前</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2019年12月底前</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2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2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完成项目需要的经费</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21.5</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rPr>
            </w:pPr>
            <w:r>
              <w:rPr>
                <w:rFonts w:hint="eastAsia"/>
              </w:rPr>
              <w:t>社会效益</w:t>
            </w:r>
          </w:p>
          <w:p>
            <w:pPr>
              <w:widowControl/>
              <w:jc w:val="center"/>
              <w:textAlignment w:val="center"/>
              <w:rPr>
                <w:rFonts w:ascii="宋体" w:hAnsi="宋体" w:cs="宋体"/>
                <w:color w:val="000000"/>
                <w:sz w:val="24"/>
              </w:rPr>
            </w:pPr>
            <w:r>
              <w:rPr>
                <w:rFonts w:hint="eastAsia"/>
              </w:rPr>
              <w:t>指标</w:t>
            </w:r>
          </w:p>
        </w:tc>
        <w:tc>
          <w:tcPr>
            <w:tcW w:w="22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省、市各项目标任务的顺利完成</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完成省、市各项目标任务</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2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bl>
    <w:p>
      <w:pPr>
        <w:spacing w:line="580" w:lineRule="exact"/>
        <w:ind w:firstLine="640" w:firstLineChars="200"/>
        <w:rPr>
          <w:rFonts w:hint="eastAsia" w:ascii="Times New Roman" w:hAnsi="Times New Roman" w:eastAsia="仿宋_GB2312" w:cs="Times New Roman"/>
          <w:sz w:val="32"/>
          <w:szCs w:val="32"/>
          <w:lang w:eastAsia="zh-CN"/>
        </w:rPr>
      </w:pPr>
    </w:p>
    <w:tbl>
      <w:tblPr>
        <w:tblStyle w:val="13"/>
        <w:tblpPr w:leftFromText="180" w:rightFromText="180" w:vertAnchor="text" w:horzAnchor="page" w:tblpX="1144" w:tblpY="429"/>
        <w:tblOverlap w:val="never"/>
        <w:tblW w:w="9688" w:type="dxa"/>
        <w:jc w:val="center"/>
        <w:tblLayout w:type="fixed"/>
        <w:tblCellMar>
          <w:top w:w="0" w:type="dxa"/>
          <w:left w:w="0" w:type="dxa"/>
          <w:bottom w:w="0" w:type="dxa"/>
          <w:right w:w="0" w:type="dxa"/>
        </w:tblCellMar>
      </w:tblPr>
      <w:tblGrid>
        <w:gridCol w:w="390"/>
        <w:gridCol w:w="1367"/>
        <w:gridCol w:w="1183"/>
        <w:gridCol w:w="2690"/>
        <w:gridCol w:w="2096"/>
        <w:gridCol w:w="1962"/>
      </w:tblGrid>
      <w:tr>
        <w:tblPrEx>
          <w:tblCellMar>
            <w:top w:w="0" w:type="dxa"/>
            <w:left w:w="0" w:type="dxa"/>
            <w:bottom w:w="0" w:type="dxa"/>
            <w:right w:w="0" w:type="dxa"/>
          </w:tblCellMar>
        </w:tblPrEx>
        <w:trPr>
          <w:trHeight w:val="1034" w:hRule="atLeast"/>
          <w:jc w:val="center"/>
        </w:trPr>
        <w:tc>
          <w:tcPr>
            <w:tcW w:w="96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市级防汛物资储备经费</w:t>
            </w:r>
          </w:p>
        </w:tc>
      </w:tr>
      <w:tr>
        <w:tblPrEx>
          <w:tblCellMar>
            <w:top w:w="0" w:type="dxa"/>
            <w:left w:w="0" w:type="dxa"/>
            <w:bottom w:w="0" w:type="dxa"/>
            <w:right w:w="0" w:type="dxa"/>
          </w:tblCellMar>
        </w:tblPrEx>
        <w:trPr>
          <w:trHeight w:val="276" w:hRule="atLeast"/>
          <w:jc w:val="center"/>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攀枝花市水利局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50万元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49.8万元</w:t>
            </w:r>
          </w:p>
        </w:tc>
      </w:tr>
      <w:tr>
        <w:tblPrEx>
          <w:tblCellMar>
            <w:top w:w="0" w:type="dxa"/>
            <w:left w:w="0" w:type="dxa"/>
            <w:bottom w:w="0" w:type="dxa"/>
            <w:right w:w="0" w:type="dxa"/>
          </w:tblCellMar>
        </w:tblPrEx>
        <w:trPr>
          <w:trHeight w:val="30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50万元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49.8万元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5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5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为2019年防汛抢险提供实物物资、协议设备和物资、抢险油料及现金保障。</w:t>
            </w:r>
          </w:p>
        </w:tc>
        <w:tc>
          <w:tcPr>
            <w:tcW w:w="4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防汛储备物资仓库租赁及代管30万，防汛储备汽油19.8万元，现金储备0.2万元</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69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数量指标</w:t>
            </w:r>
          </w:p>
        </w:tc>
        <w:tc>
          <w:tcPr>
            <w:tcW w:w="269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tbl>
            <w:tblPr>
              <w:tblStyle w:val="13"/>
              <w:tblW w:w="7335" w:type="dxa"/>
              <w:tblInd w:w="-20" w:type="dxa"/>
              <w:shd w:val="clear" w:color="auto" w:fill="auto"/>
              <w:tblLayout w:type="fixed"/>
              <w:tblCellMar>
                <w:top w:w="0" w:type="dxa"/>
                <w:left w:w="0" w:type="dxa"/>
                <w:bottom w:w="0" w:type="dxa"/>
                <w:right w:w="0" w:type="dxa"/>
              </w:tblCellMar>
            </w:tblPr>
            <w:tblGrid>
              <w:gridCol w:w="2805"/>
              <w:gridCol w:w="1500"/>
              <w:gridCol w:w="1800"/>
              <w:gridCol w:w="1230"/>
            </w:tblGrid>
            <w:tr>
              <w:tblPrEx>
                <w:shd w:val="clear" w:color="auto" w:fill="auto"/>
                <w:tblCellMar>
                  <w:top w:w="0" w:type="dxa"/>
                  <w:left w:w="0" w:type="dxa"/>
                  <w:bottom w:w="0" w:type="dxa"/>
                  <w:right w:w="0" w:type="dxa"/>
                </w:tblCellMar>
              </w:tblPrEx>
              <w:trPr>
                <w:trHeight w:val="900"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购买防汛物资</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防汛储备物资仓库租赁及代管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已全部完成</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bl>
          <w:p>
            <w:pPr>
              <w:widowControl/>
              <w:jc w:val="center"/>
              <w:textAlignment w:val="center"/>
              <w:rPr>
                <w:rFonts w:ascii="宋体" w:hAnsi="宋体" w:cs="宋体"/>
                <w:color w:val="000000"/>
                <w:sz w:val="24"/>
              </w:rPr>
            </w:pP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防汛储备物资仓库租赁及代管</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质量指标</w:t>
            </w:r>
          </w:p>
        </w:tc>
        <w:tc>
          <w:tcPr>
            <w:tcW w:w="269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物资合格</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提供实物物资、协议设备和物资、抢险油料及现金保障</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时效指标</w:t>
            </w:r>
          </w:p>
        </w:tc>
        <w:tc>
          <w:tcPr>
            <w:tcW w:w="269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完成时间</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2019年12月前</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成本指标</w:t>
            </w:r>
          </w:p>
        </w:tc>
        <w:tc>
          <w:tcPr>
            <w:tcW w:w="269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防汛物资储备及仓储租赁代管服务</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全年共计50万元</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69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完物资储备工作</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仿宋_GB2312" w:eastAsia="仿宋_GB2312"/>
                <w:color w:val="000000" w:themeColor="text1"/>
                <w:sz w:val="24"/>
                <w:szCs w:val="24"/>
                <w:lang w:eastAsia="zh-CN"/>
                <w14:textFill>
                  <w14:solidFill>
                    <w14:schemeClr w14:val="tx1"/>
                  </w14:solidFill>
                </w14:textFill>
              </w:rPr>
              <w:t>提升我市抵御自然灾害的能力</w:t>
            </w:r>
            <w:r>
              <w:rPr>
                <w:rFonts w:hint="eastAsia" w:ascii="仿宋_GB2312" w:hAnsi="宋体" w:eastAsia="仿宋_GB2312"/>
                <w:color w:val="000000" w:themeColor="text1"/>
                <w:sz w:val="24"/>
                <w:szCs w:val="24"/>
                <w:lang w:val="en-US" w:eastAsia="zh-CN"/>
                <w14:textFill>
                  <w14:solidFill>
                    <w14:schemeClr w14:val="tx1"/>
                  </w14:solidFill>
                </w14:textFill>
              </w:rPr>
              <w:t>。</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满意度指标</w:t>
            </w:r>
          </w:p>
        </w:tc>
        <w:tc>
          <w:tcPr>
            <w:tcW w:w="269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服务对象满意度</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34" w:hRule="atLeast"/>
          <w:jc w:val="center"/>
        </w:trPr>
        <w:tc>
          <w:tcPr>
            <w:tcW w:w="96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水土保持监测（收入征管成本支出）</w:t>
            </w:r>
          </w:p>
        </w:tc>
      </w:tr>
      <w:tr>
        <w:tblPrEx>
          <w:tblCellMar>
            <w:top w:w="0" w:type="dxa"/>
            <w:left w:w="0" w:type="dxa"/>
            <w:bottom w:w="0" w:type="dxa"/>
            <w:right w:w="0" w:type="dxa"/>
          </w:tblCellMar>
        </w:tblPrEx>
        <w:trPr>
          <w:trHeight w:val="276" w:hRule="atLeast"/>
          <w:jc w:val="center"/>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攀枝花市水土保持生态环境监测分站</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120万元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108万元</w:t>
            </w:r>
          </w:p>
        </w:tc>
      </w:tr>
      <w:tr>
        <w:tblPrEx>
          <w:tblCellMar>
            <w:top w:w="0" w:type="dxa"/>
            <w:left w:w="0" w:type="dxa"/>
            <w:bottom w:w="0" w:type="dxa"/>
            <w:right w:w="0" w:type="dxa"/>
          </w:tblCellMar>
        </w:tblPrEx>
        <w:trPr>
          <w:trHeight w:val="30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120万元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108万元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5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5240"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开展已签合同的生产建设项目水土保持监测，按合同及水土保持工程建设完成监测工作。</w:t>
            </w:r>
          </w:p>
        </w:tc>
        <w:tc>
          <w:tcPr>
            <w:tcW w:w="4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完成3个项目水土保持设施验收及备案工作，2个生产建设项目水土保持方案编制工作，1个水土保持设施验收工作。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数量指标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tbl>
            <w:tblPr>
              <w:tblStyle w:val="13"/>
              <w:tblW w:w="7335" w:type="dxa"/>
              <w:tblInd w:w="-15" w:type="dxa"/>
              <w:shd w:val="clear" w:color="auto" w:fill="auto"/>
              <w:tblLayout w:type="fixed"/>
              <w:tblCellMar>
                <w:top w:w="0" w:type="dxa"/>
                <w:left w:w="0" w:type="dxa"/>
                <w:bottom w:w="0" w:type="dxa"/>
                <w:right w:w="0" w:type="dxa"/>
              </w:tblCellMar>
            </w:tblPr>
            <w:tblGrid>
              <w:gridCol w:w="2805"/>
              <w:gridCol w:w="1500"/>
              <w:gridCol w:w="1800"/>
              <w:gridCol w:w="1230"/>
            </w:tblGrid>
            <w:tr>
              <w:tblPrEx>
                <w:shd w:val="clear" w:color="auto" w:fill="auto"/>
                <w:tblCellMar>
                  <w:top w:w="0" w:type="dxa"/>
                  <w:left w:w="0" w:type="dxa"/>
                  <w:bottom w:w="0" w:type="dxa"/>
                  <w:right w:w="0" w:type="dxa"/>
                </w:tblCellMar>
              </w:tblPrEx>
              <w:trPr>
                <w:trHeight w:val="900" w:hRule="atLeast"/>
              </w:trPr>
              <w:tc>
                <w:tcPr>
                  <w:tcW w:w="280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项目运行费</w:t>
                  </w:r>
                </w:p>
              </w:tc>
              <w:tc>
                <w:tcPr>
                  <w:tcW w:w="15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防汛储备物资仓库租赁及代管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已全部完成</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bl>
          <w:p>
            <w:pPr>
              <w:widowControl/>
              <w:jc w:val="center"/>
              <w:textAlignment w:val="center"/>
              <w:rPr>
                <w:rFonts w:ascii="宋体" w:hAnsi="宋体" w:cs="宋体"/>
                <w:color w:val="000000"/>
                <w:sz w:val="24"/>
              </w:rPr>
            </w:pP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聘用人员工资</w:t>
            </w:r>
            <w:r>
              <w:rPr>
                <w:rFonts w:hint="eastAsia" w:ascii="宋体" w:hAnsi="宋体" w:cs="宋体"/>
                <w:i w:val="0"/>
                <w:color w:val="000000"/>
                <w:kern w:val="0"/>
                <w:sz w:val="24"/>
                <w:szCs w:val="24"/>
                <w:u w:val="none"/>
                <w:lang w:val="en-US" w:eastAsia="zh-CN" w:bidi="ar"/>
              </w:rPr>
              <w:t>、广告宣传费、监测设施建安费、打字复印费等</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质量指标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符合水土保持技术规范，验收项目通过行政部门备案</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完成3个项目水土保持设施验收及备案工作，2个生产建设项目水土保持方案编制工作，1个水土保持设施验收工作。</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时效指标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完成时间</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据项目水土保持工程建设进度，推进水土保持技术服务工作</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成本指标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聘用人员工资</w:t>
            </w:r>
            <w:r>
              <w:rPr>
                <w:rFonts w:hint="eastAsia" w:ascii="宋体" w:hAnsi="宋体" w:cs="宋体"/>
                <w:i w:val="0"/>
                <w:color w:val="000000"/>
                <w:kern w:val="0"/>
                <w:sz w:val="24"/>
                <w:szCs w:val="24"/>
                <w:u w:val="none"/>
                <w:lang w:val="en-US" w:eastAsia="zh-CN" w:bidi="ar"/>
              </w:rPr>
              <w:t>、广告宣传费、监测设施建安费、打字复印费等</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全年</w:t>
            </w:r>
            <w:r>
              <w:rPr>
                <w:rFonts w:hint="eastAsia" w:ascii="宋体" w:hAnsi="宋体" w:cs="宋体"/>
                <w:i w:val="0"/>
                <w:color w:val="000000"/>
                <w:kern w:val="0"/>
                <w:sz w:val="24"/>
                <w:szCs w:val="24"/>
                <w:u w:val="none"/>
                <w:lang w:val="en-US" w:eastAsia="zh-CN" w:bidi="ar"/>
              </w:rPr>
              <w:t>约需120</w:t>
            </w:r>
            <w:r>
              <w:rPr>
                <w:rFonts w:hint="eastAsia" w:ascii="宋体" w:hAnsi="宋体" w:eastAsia="宋体" w:cs="宋体"/>
                <w:i w:val="0"/>
                <w:color w:val="000000"/>
                <w:kern w:val="0"/>
                <w:sz w:val="24"/>
                <w:szCs w:val="24"/>
                <w:u w:val="none"/>
                <w:lang w:val="en-US" w:eastAsia="zh-CN" w:bidi="ar"/>
              </w:rPr>
              <w:t>万元</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按要求完成生产建设项目水土保持监测工作</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按要求完成生产建设项目水土保持监测工作</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完成3个项目水土保持设施验收及备案工作，2个生产建设项目水土保持方案编制工作，1个水土保持设施验收工作。完成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满意度指标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指标1：服务对象满意度</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34" w:hRule="atLeast"/>
          <w:jc w:val="center"/>
        </w:trPr>
        <w:tc>
          <w:tcPr>
            <w:tcW w:w="96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仿宋_GB2312" w:hAnsi="仿宋_GB2312" w:eastAsia="仿宋_GB2312" w:cs="仿宋_GB2312"/>
                <w:sz w:val="32"/>
                <w:szCs w:val="32"/>
                <w:lang w:eastAsia="zh-CN"/>
              </w:rPr>
              <w:t>水库动态监管预警系统建设项目</w:t>
            </w:r>
          </w:p>
        </w:tc>
      </w:tr>
      <w:tr>
        <w:tblPrEx>
          <w:tblCellMar>
            <w:top w:w="0" w:type="dxa"/>
            <w:left w:w="0" w:type="dxa"/>
            <w:bottom w:w="0" w:type="dxa"/>
            <w:right w:w="0" w:type="dxa"/>
          </w:tblCellMar>
        </w:tblPrEx>
        <w:trPr>
          <w:trHeight w:val="276" w:hRule="atLeast"/>
          <w:jc w:val="center"/>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攀枝花市胜利水利工程运行中心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13.8万元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13.11万元</w:t>
            </w:r>
          </w:p>
        </w:tc>
      </w:tr>
      <w:tr>
        <w:tblPrEx>
          <w:tblCellMar>
            <w:top w:w="0" w:type="dxa"/>
            <w:left w:w="0" w:type="dxa"/>
            <w:bottom w:w="0" w:type="dxa"/>
            <w:right w:w="0" w:type="dxa"/>
          </w:tblCellMar>
        </w:tblPrEx>
        <w:trPr>
          <w:trHeight w:val="30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13.8万元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13.11万元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5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5240"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2019年汛前完成2座水库动态监管预警系统建设任务</w:t>
            </w:r>
          </w:p>
        </w:tc>
        <w:tc>
          <w:tcPr>
            <w:tcW w:w="4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已完成2座水库动态监管预警系统建设</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77"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数量指标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val="0"/>
                <w:bCs w:val="0"/>
                <w:color w:val="000000"/>
                <w:sz w:val="24"/>
              </w:rPr>
            </w:pPr>
            <w:r>
              <w:rPr>
                <w:rFonts w:hint="eastAsia" w:ascii="仿宋_GB2312" w:hAnsi="仿宋_GB2312" w:eastAsia="仿宋_GB2312" w:cs="仿宋_GB2312"/>
                <w:b w:val="0"/>
                <w:bCs w:val="0"/>
                <w:i w:val="0"/>
                <w:color w:val="000000"/>
                <w:kern w:val="0"/>
                <w:sz w:val="21"/>
                <w:szCs w:val="21"/>
                <w:u w:val="none"/>
                <w:lang w:val="en-US" w:eastAsia="zh-CN" w:bidi="ar"/>
              </w:rPr>
              <w:t>胜利水库动态监管预警系统建设和沙坝田水库动态监管预警系统建设</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2套系统建设</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质量指标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完成合格率</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100%</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时效指标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完成时间</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2019年</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成本指标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两套系统</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全年</w:t>
            </w:r>
            <w:r>
              <w:rPr>
                <w:rFonts w:hint="eastAsia" w:ascii="宋体" w:hAnsi="宋体" w:cs="宋体"/>
                <w:i w:val="0"/>
                <w:color w:val="000000"/>
                <w:kern w:val="0"/>
                <w:sz w:val="24"/>
                <w:szCs w:val="24"/>
                <w:u w:val="none"/>
                <w:lang w:val="en-US" w:eastAsia="zh-CN" w:bidi="ar"/>
              </w:rPr>
              <w:t>约需13.11</w:t>
            </w:r>
            <w:r>
              <w:rPr>
                <w:rFonts w:hint="eastAsia" w:ascii="宋体" w:hAnsi="宋体" w:eastAsia="宋体" w:cs="宋体"/>
                <w:i w:val="0"/>
                <w:color w:val="000000"/>
                <w:kern w:val="0"/>
                <w:sz w:val="24"/>
                <w:szCs w:val="24"/>
                <w:u w:val="none"/>
                <w:lang w:val="en-US" w:eastAsia="zh-CN" w:bidi="ar"/>
              </w:rPr>
              <w:t>万元</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690"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提升水库管理手段多样性、科学性，推进信息化建设。</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提升水库规范化、标准化、信息化管理水平</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18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满意度指标</w:t>
            </w:r>
          </w:p>
        </w:tc>
        <w:tc>
          <w:tcPr>
            <w:tcW w:w="2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使用者</w:t>
            </w:r>
            <w:r>
              <w:rPr>
                <w:rFonts w:hint="eastAsia" w:ascii="宋体" w:hAnsi="宋体" w:eastAsia="宋体" w:cs="宋体"/>
                <w:i w:val="0"/>
                <w:color w:val="000000"/>
                <w:kern w:val="0"/>
                <w:sz w:val="24"/>
                <w:szCs w:val="24"/>
                <w:u w:val="none"/>
                <w:lang w:val="en-US" w:eastAsia="zh-CN" w:bidi="ar"/>
              </w:rPr>
              <w:t>满意度</w:t>
            </w:r>
          </w:p>
        </w:tc>
        <w:tc>
          <w:tcPr>
            <w:tcW w:w="20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19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34" w:hRule="atLeast"/>
          <w:jc w:val="center"/>
        </w:trPr>
        <w:tc>
          <w:tcPr>
            <w:tcW w:w="9688" w:type="dxa"/>
            <w:gridSpan w:val="6"/>
            <w:tcBorders>
              <w:top w:val="single" w:color="auto" w:sz="4" w:space="0"/>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维修养护经费</w:t>
            </w:r>
          </w:p>
        </w:tc>
      </w:tr>
      <w:tr>
        <w:tblPrEx>
          <w:tblCellMar>
            <w:top w:w="0" w:type="dxa"/>
            <w:left w:w="0" w:type="dxa"/>
            <w:bottom w:w="0" w:type="dxa"/>
            <w:right w:w="0" w:type="dxa"/>
          </w:tblCellMar>
        </w:tblPrEx>
        <w:trPr>
          <w:trHeight w:val="276" w:hRule="atLeast"/>
          <w:jc w:val="center"/>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攀枝花市胜利水利工程运行中心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80万元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80万元</w:t>
            </w:r>
          </w:p>
        </w:tc>
      </w:tr>
      <w:tr>
        <w:tblPrEx>
          <w:tblCellMar>
            <w:top w:w="0" w:type="dxa"/>
            <w:left w:w="0" w:type="dxa"/>
            <w:bottom w:w="0" w:type="dxa"/>
            <w:right w:w="0" w:type="dxa"/>
          </w:tblCellMar>
        </w:tblPrEx>
        <w:trPr>
          <w:trHeight w:val="30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80万元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5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5240"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完成胜利水库闸门维修、完成胜利水库用电线路、防汛抢险道路等维修改造、完成胜利水库大坝坝坡除草、水库绿化管护、渠道维修养护，确保水库正常运行</w:t>
            </w:r>
          </w:p>
        </w:tc>
        <w:tc>
          <w:tcPr>
            <w:tcW w:w="4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完成胜利水库渠道水口加固改造、完成胜利水库用电线路、防汛抢险道路等维修改造、完成胜利水库大坝坝坡除草、水库绿化管护、渠道维修养护，确保水库正常运行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1206"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数量指标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水库维修养护</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　管护维修、线路改造、林木管护、水库环保治理、防汛抢险等</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质量指标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按工作计划要求</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　水库正常运行</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时效指标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2019年</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2019年</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成本指标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水库管护维修、线路改造、林木管护、水库环保治理、防汛抢险等</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全年</w:t>
            </w:r>
            <w:r>
              <w:rPr>
                <w:rFonts w:hint="eastAsia" w:ascii="宋体" w:hAnsi="宋体" w:cs="宋体"/>
                <w:i w:val="0"/>
                <w:color w:val="000000"/>
                <w:kern w:val="0"/>
                <w:sz w:val="24"/>
                <w:szCs w:val="24"/>
                <w:u w:val="none"/>
                <w:lang w:val="en-US" w:eastAsia="zh-CN" w:bidi="ar"/>
              </w:rPr>
              <w:t>约需80</w:t>
            </w:r>
            <w:r>
              <w:rPr>
                <w:rFonts w:hint="eastAsia" w:ascii="宋体" w:hAnsi="宋体" w:eastAsia="宋体" w:cs="宋体"/>
                <w:i w:val="0"/>
                <w:color w:val="000000"/>
                <w:kern w:val="0"/>
                <w:sz w:val="24"/>
                <w:szCs w:val="24"/>
                <w:u w:val="none"/>
                <w:lang w:val="en-US" w:eastAsia="zh-CN" w:bidi="ar"/>
              </w:rPr>
              <w:t>万元</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服务对象满意度</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确保水库水利工程安全、保护饮用水源、提高水质、促进社会稳定</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1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满意度指标</w:t>
            </w:r>
          </w:p>
        </w:tc>
        <w:tc>
          <w:tcPr>
            <w:tcW w:w="2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100%</w:t>
            </w:r>
          </w:p>
        </w:tc>
        <w:tc>
          <w:tcPr>
            <w:tcW w:w="209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19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攀枝花市水利局</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hint="eastAsia" w:ascii="仿宋_GB2312" w:eastAsia="仿宋_GB2312"/>
          <w:b/>
          <w:color w:val="FF0000"/>
          <w:sz w:val="32"/>
          <w:szCs w:val="32"/>
          <w:lang w:val="en-US" w:eastAsia="zh-CN"/>
        </w:rPr>
      </w:pPr>
      <w:r>
        <w:rPr>
          <w:rFonts w:hint="eastAsia" w:ascii="仿宋_GB2312" w:hAnsi="仿宋_GB2312" w:eastAsia="仿宋_GB2312" w:cs="仿宋_GB2312"/>
          <w:sz w:val="32"/>
          <w:szCs w:val="32"/>
        </w:rPr>
        <w:t>本部门自行组织对市级防汛物资储备经费项目开展了绩效评价，《市级防汛物资储备经费项目2019年绩效评价报告》见附件（附件2）。</w:t>
      </w:r>
      <w:r>
        <w:rPr>
          <w:rFonts w:hint="eastAsia" w:ascii="仿宋_GB2312" w:hAnsi="仿宋_GB2312" w:eastAsia="仿宋_GB2312" w:cs="仿宋_GB2312"/>
          <w:color w:val="FF0000"/>
          <w:sz w:val="32"/>
          <w:szCs w:val="32"/>
          <w:lang w:val="en-US" w:eastAsia="zh-CN"/>
        </w:rPr>
        <w:t xml:space="preserve"> </w:t>
      </w:r>
      <w:bookmarkStart w:id="81" w:name="_GoBack"/>
      <w:bookmarkEnd w:id="81"/>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63" w:name="_Toc15396613"/>
      <w:bookmarkStart w:id="64"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63"/>
      <w:bookmarkEnd w:id="64"/>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r>
        <w:rPr>
          <w:rFonts w:hint="eastAsia" w:ascii="仿宋_GB2312" w:eastAsia="仿宋_GB2312"/>
          <w:sz w:val="32"/>
          <w:szCs w:val="32"/>
          <w:lang w:eastAsia="zh-CN"/>
        </w:rPr>
        <w:t>　</w:t>
      </w:r>
    </w:p>
    <w:p>
      <w:pPr>
        <w:pStyle w:val="23"/>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hint="eastAsia" w:ascii="仿宋_GB2312" w:eastAsia="仿宋_GB2312"/>
          <w:sz w:val="32"/>
          <w:szCs w:val="32"/>
          <w:lang w:eastAsia="zh-CN"/>
        </w:rPr>
        <w:t>。</w:t>
      </w:r>
    </w:p>
    <w:p>
      <w:pPr>
        <w:pStyle w:val="23"/>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lang w:eastAsia="zh-CN"/>
        </w:rPr>
      </w:pPr>
      <w:r>
        <w:rPr>
          <w:rFonts w:hint="eastAsia" w:ascii="仿宋_GB2312" w:eastAsia="仿宋_GB2312"/>
          <w:b w:val="0"/>
          <w:bCs w:val="0"/>
          <w:color w:val="000000"/>
          <w:sz w:val="32"/>
          <w:szCs w:val="32"/>
          <w:lang w:val="en-US" w:eastAsia="zh-CN"/>
        </w:rPr>
        <w:t>9</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rPr>
        <w:t>一般公共服务（类）</w:t>
      </w:r>
      <w:r>
        <w:rPr>
          <w:rStyle w:val="15"/>
          <w:rFonts w:hint="eastAsia" w:ascii="仿宋_GB2312" w:eastAsia="仿宋_GB2312"/>
          <w:b w:val="0"/>
          <w:bCs w:val="0"/>
          <w:color w:val="000000"/>
          <w:sz w:val="32"/>
          <w:szCs w:val="32"/>
          <w:lang w:eastAsia="zh-CN"/>
        </w:rPr>
        <w:t>组织事务</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其他组织事务支出</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其他用于中国共产党组织部门的事务支出</w:t>
      </w:r>
      <w:r>
        <w:rPr>
          <w:rFonts w:hint="eastAsia" w:ascii="仿宋_GB2312" w:eastAsia="仿宋_GB2312"/>
          <w:b w:val="0"/>
          <w:bCs w:val="0"/>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w:t>
      </w:r>
      <w:r>
        <w:rPr>
          <w:rStyle w:val="15"/>
          <w:rFonts w:hint="eastAsia" w:ascii="仿宋_GB2312" w:eastAsia="仿宋_GB2312"/>
          <w:b w:val="0"/>
          <w:bCs w:val="0"/>
          <w:color w:val="000000"/>
          <w:sz w:val="32"/>
          <w:szCs w:val="32"/>
          <w:lang w:eastAsia="zh-CN"/>
        </w:rPr>
        <w:t>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人力资源和社会保障管理事务</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其他人力资源和社会保障管理事务支出</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其他用于人力资源和社会保障管理事务方面的支出。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w:t>
      </w:r>
      <w:r>
        <w:rPr>
          <w:rStyle w:val="15"/>
          <w:rFonts w:hint="eastAsia" w:ascii="仿宋_GB2312" w:eastAsia="仿宋_GB2312"/>
          <w:b w:val="0"/>
          <w:bCs w:val="0"/>
          <w:color w:val="000000"/>
          <w:sz w:val="32"/>
          <w:szCs w:val="32"/>
          <w:lang w:eastAsia="zh-CN"/>
        </w:rPr>
        <w:t>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行政事业单位离退休</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未归口管理的行政单位离退休</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未实行归口管理的行政单位（包括实行公务员管理的事业单位）开支的离退休支出</w:t>
      </w:r>
      <w:r>
        <w:rPr>
          <w:rFonts w:hint="eastAsia" w:ascii="仿宋_GB2312" w:eastAsia="仿宋_GB2312"/>
          <w:b w:val="0"/>
          <w:bCs w:val="0"/>
          <w:color w:val="000000"/>
          <w:sz w:val="32"/>
          <w:szCs w:val="32"/>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w:t>
      </w:r>
      <w:r>
        <w:rPr>
          <w:rStyle w:val="15"/>
          <w:rFonts w:hint="eastAsia" w:ascii="仿宋_GB2312" w:eastAsia="仿宋_GB2312"/>
          <w:b w:val="0"/>
          <w:bCs w:val="0"/>
          <w:color w:val="000000"/>
          <w:sz w:val="32"/>
          <w:szCs w:val="32"/>
          <w:lang w:eastAsia="zh-CN"/>
        </w:rPr>
        <w:t>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行政事业单位离退休</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机关事业单位基本养老保险缴费支出</w:t>
      </w:r>
      <w:r>
        <w:rPr>
          <w:rStyle w:val="15"/>
          <w:rFonts w:hint="eastAsia" w:ascii="仿宋_GB2312" w:eastAsia="仿宋_GB2312"/>
          <w:b w:val="0"/>
          <w:bCs w:val="0"/>
          <w:color w:val="000000"/>
          <w:sz w:val="32"/>
          <w:szCs w:val="32"/>
        </w:rPr>
        <w:t>（项）</w:t>
      </w:r>
      <w:r>
        <w:rPr>
          <w:rStyle w:val="15"/>
          <w:rFonts w:hint="eastAsia" w:ascii="仿宋_GB2312" w:eastAsia="仿宋_GB2312"/>
          <w:b w:val="0"/>
          <w:bCs w:val="0"/>
          <w:color w:val="000000"/>
          <w:sz w:val="32"/>
          <w:szCs w:val="32"/>
          <w:lang w:eastAsia="zh-CN"/>
        </w:rPr>
        <w:t>：</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机关事业单位实施养老保险制度由单位缴纳的基本养老保险费支出。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社会保障和就业（类）</w:t>
      </w:r>
      <w:r>
        <w:rPr>
          <w:rStyle w:val="15"/>
          <w:rFonts w:hint="eastAsia" w:ascii="仿宋_GB2312" w:eastAsia="仿宋_GB2312"/>
          <w:b w:val="0"/>
          <w:bCs w:val="0"/>
          <w:color w:val="000000"/>
          <w:sz w:val="32"/>
          <w:szCs w:val="32"/>
          <w:lang w:eastAsia="zh-CN"/>
        </w:rPr>
        <w:t>其他社会保障和就业支出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儿童福利</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eastAsia="仿宋_GB2312"/>
          <w:b w:val="0"/>
          <w:bCs w:val="0"/>
          <w:color w:val="000000"/>
          <w:sz w:val="32"/>
          <w:szCs w:val="32"/>
          <w:lang w:eastAsia="zh-CN"/>
        </w:rPr>
        <w:t>指对儿童提供福利服务方面的支出</w:t>
      </w:r>
      <w:r>
        <w:rPr>
          <w:rFonts w:hint="eastAsia" w:ascii="仿宋_GB2312" w:eastAsia="仿宋_GB2312"/>
          <w:b w:val="0"/>
          <w:bCs w:val="0"/>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社会保障和就业（类）</w:t>
      </w:r>
      <w:r>
        <w:rPr>
          <w:rStyle w:val="15"/>
          <w:rFonts w:hint="eastAsia" w:ascii="仿宋_GB2312" w:eastAsia="仿宋_GB2312"/>
          <w:b w:val="0"/>
          <w:bCs w:val="0"/>
          <w:color w:val="000000"/>
          <w:sz w:val="32"/>
          <w:szCs w:val="32"/>
          <w:lang w:eastAsia="zh-CN"/>
        </w:rPr>
        <w:t>其他社会保障和就业支出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其他社会保障和就业支出</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eastAsia="仿宋_GB2312"/>
          <w:b w:val="0"/>
          <w:bCs w:val="0"/>
          <w:color w:val="000000"/>
          <w:sz w:val="32"/>
          <w:szCs w:val="32"/>
          <w:lang w:val="en-US" w:eastAsia="zh-CN"/>
        </w:rPr>
        <w:t>指其他用于社会保障和就业方面的支出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rPr>
        <w:t>医疗卫生与计划生育支出（类）</w:t>
      </w:r>
      <w:r>
        <w:rPr>
          <w:rStyle w:val="15"/>
          <w:rFonts w:hint="eastAsia" w:ascii="仿宋_GB2312" w:eastAsia="仿宋_GB2312"/>
          <w:b w:val="0"/>
          <w:bCs w:val="0"/>
          <w:color w:val="000000"/>
          <w:sz w:val="32"/>
          <w:szCs w:val="32"/>
          <w:lang w:eastAsia="zh-CN"/>
        </w:rPr>
        <w:t>其他医疗卫生与计划生育支出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其他医疗卫生与计划生育支出</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eastAsia="仿宋_GB2312"/>
          <w:b w:val="0"/>
          <w:bCs w:val="0"/>
          <w:color w:val="000000"/>
          <w:sz w:val="32"/>
          <w:szCs w:val="32"/>
          <w:lang w:val="en-US" w:eastAsia="zh-CN"/>
        </w:rPr>
        <w:t>指其他用于</w:t>
      </w:r>
      <w:r>
        <w:rPr>
          <w:rStyle w:val="15"/>
          <w:rFonts w:hint="eastAsia" w:ascii="仿宋_GB2312" w:eastAsia="仿宋_GB2312"/>
          <w:b w:val="0"/>
          <w:bCs w:val="0"/>
          <w:color w:val="000000"/>
          <w:sz w:val="32"/>
          <w:szCs w:val="32"/>
          <w:lang w:eastAsia="zh-CN"/>
        </w:rPr>
        <w:t>医疗卫生与计划生育</w:t>
      </w:r>
      <w:r>
        <w:rPr>
          <w:rFonts w:hint="eastAsia" w:ascii="仿宋_GB2312" w:eastAsia="仿宋_GB2312"/>
          <w:b w:val="0"/>
          <w:bCs w:val="0"/>
          <w:color w:val="000000"/>
          <w:sz w:val="32"/>
          <w:szCs w:val="32"/>
          <w:lang w:val="en-US" w:eastAsia="zh-CN"/>
        </w:rPr>
        <w:t>方面的支出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城乡社区支出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国有土地使用权出让收入及对应专项债务收入安排的支出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土地开发（</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地方政府用于前期土地开发性支出以及现前期土地开发相关的费用等支出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行政运行</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行政单位（包括实行公务员管理的事业单位）的基本支出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8</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一般行政管理事务</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行政单位（包括实行公务员管理的事业单位）未单独设置项级科目的其他项目支出</w:t>
      </w:r>
      <w:r>
        <w:rPr>
          <w:rFonts w:hint="eastAsia" w:ascii="仿宋_GB2312" w:hAnsi="仿宋_GB2312" w:eastAsia="仿宋_GB2312" w:cs="仿宋_GB2312"/>
          <w:b w:val="0"/>
          <w:i w:val="0"/>
          <w:caps w:val="0"/>
          <w:color w:val="5E5E5E"/>
          <w:spacing w:val="0"/>
          <w:sz w:val="32"/>
          <w:szCs w:val="32"/>
          <w:shd w:val="clear" w:color="auto" w:fill="FFFFFF"/>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水利工程建设</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lang w:eastAsia="zh-CN"/>
        </w:rPr>
        <w:t>指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水利工程运行与维护</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：指</w:t>
      </w:r>
      <w:r>
        <w:rPr>
          <w:rFonts w:hint="eastAsia" w:ascii="仿宋_GB2312" w:eastAsia="仿宋_GB2312"/>
          <w:b w:val="0"/>
          <w:bCs w:val="0"/>
          <w:color w:val="000000"/>
          <w:sz w:val="32"/>
          <w:szCs w:val="32"/>
          <w:lang w:eastAsia="zh-CN"/>
        </w:rPr>
        <w:t>水利系统用于江、河、湖、滩等治理工程运行与维护方面的支出，以及纳入预算管理的水利工程管理单位的支出</w:t>
      </w:r>
      <w:r>
        <w:rPr>
          <w:rFonts w:hint="eastAsia" w:ascii="仿宋_GB2312" w:eastAsia="仿宋_GB2312"/>
          <w:color w:val="00000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1</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水土保持</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b w:val="0"/>
          <w:bCs w:val="0"/>
          <w:i w:val="0"/>
          <w:caps w:val="0"/>
          <w:color w:val="000000"/>
          <w:spacing w:val="0"/>
          <w:sz w:val="32"/>
          <w:szCs w:val="32"/>
          <w:shd w:val="clear" w:color="auto" w:fill="FFFFFF"/>
        </w:rPr>
        <w:t>反映水利系统纳入预算管理的水土保持事业单位的支出，包括规划制定和实施，治理、生态修复、预防监测、调查协调、综合治理、开发技术的示范、监督执法等支出以及水土保持生态工程措施和各项管理保护活动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水资源节约管理与保护</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rPr>
        <w:t>指反映水利系统纳入预算管理的水资源管理与保护事业单位的支出。有关事项包括进65行水资源调查评价和水资源规划，水量分配方案、节水以及相</w:t>
      </w:r>
      <w:r>
        <w:rPr>
          <w:rFonts w:hint="eastAsia" w:ascii="仿宋_GB2312" w:hAnsi="仿宋_GB2312" w:eastAsia="仿宋_GB2312" w:cs="仿宋_GB2312"/>
          <w:sz w:val="32"/>
          <w:szCs w:val="32"/>
        </w:rPr>
        <w:t>关标准的制定及监督实施，组织实施流域或跨流域水资源调度，水功能区监督管理，取水许可、江河湖库及水源地保护监管，水资源公报发布，基础资料整编，水量调度，节约用水，设备仪器运行维护，入河排污口监督管理、审定水域纳污能力和限制排污控制，水资源论证，地下水资源管理，超采区治理和保护，用水定额管理，水务管理和各项保护管理等。</w:t>
      </w:r>
    </w:p>
    <w:p>
      <w:pPr>
        <w:ind w:firstLine="640" w:firstLineChars="200"/>
        <w:rPr>
          <w:rFonts w:hint="eastAsia" w:ascii="仿宋_GB2312" w:eastAsia="仿宋_GB2312"/>
          <w:color w:val="000000"/>
          <w:sz w:val="32"/>
          <w:szCs w:val="32"/>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3</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防汛</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b w:val="0"/>
          <w:i w:val="0"/>
          <w:caps w:val="0"/>
          <w:color w:val="000000"/>
          <w:spacing w:val="0"/>
          <w:sz w:val="32"/>
          <w:szCs w:val="32"/>
          <w:shd w:val="clear" w:color="auto" w:fill="FFFFFF"/>
        </w:rPr>
        <w:t>反映防汛业务支出。有关事项包括防汛物资购</w:t>
      </w:r>
      <w:r>
        <w:rPr>
          <w:rFonts w:hint="eastAsia" w:ascii="仿宋_GB2312" w:hAnsi="仿宋_GB2312" w:eastAsia="仿宋_GB2312" w:cs="仿宋_GB2312"/>
          <w:b w:val="0"/>
          <w:i w:val="0"/>
          <w:caps w:val="0"/>
          <w:color w:val="000000"/>
          <w:spacing w:val="0"/>
          <w:sz w:val="32"/>
          <w:szCs w:val="32"/>
          <w:shd w:val="clear" w:color="auto" w:fill="FFFFFF"/>
          <w:lang w:eastAsia="zh-CN"/>
        </w:rPr>
        <w:t>置</w:t>
      </w:r>
      <w:r>
        <w:rPr>
          <w:rFonts w:hint="eastAsia" w:ascii="仿宋_GB2312" w:hAnsi="仿宋_GB2312" w:eastAsia="仿宋_GB2312" w:cs="仿宋_GB2312"/>
          <w:b w:val="0"/>
          <w:i w:val="0"/>
          <w:caps w:val="0"/>
          <w:color w:val="000000"/>
          <w:spacing w:val="0"/>
          <w:sz w:val="32"/>
          <w:szCs w:val="32"/>
          <w:shd w:val="clear" w:color="auto" w:fill="FFFFFF"/>
        </w:rPr>
        <w:t>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山洪灾害防治等</w:t>
      </w:r>
      <w:r>
        <w:rPr>
          <w:rFonts w:hint="eastAsia"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仿宋_GB2312" w:eastAsia="仿宋_GB2312"/>
          <w:b w:val="0"/>
          <w:bCs w:val="0"/>
          <w:color w:val="000000"/>
          <w:sz w:val="32"/>
          <w:szCs w:val="32"/>
        </w:rPr>
        <w:t>2</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4</w:t>
      </w:r>
      <w:r>
        <w:rPr>
          <w:rFonts w:hint="eastAsia" w:ascii="仿宋_GB2312" w:hAnsi="仿宋_GB2312" w:eastAsia="仿宋_GB2312" w:cs="仿宋_GB2312"/>
          <w:b w:val="0"/>
          <w:bCs w:val="0"/>
          <w:i w:val="0"/>
          <w:caps w:val="0"/>
          <w:color w:val="000000"/>
          <w:spacing w:val="0"/>
          <w:sz w:val="32"/>
          <w:szCs w:val="32"/>
          <w:shd w:val="clear" w:color="auto" w:fill="FFFFFF"/>
        </w:rPr>
        <w:t>.</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农林水支出</w:t>
      </w:r>
      <w:r>
        <w:rPr>
          <w:rFonts w:hint="eastAsia" w:ascii="仿宋_GB2312" w:hAnsi="仿宋_GB2312" w:eastAsia="仿宋_GB2312" w:cs="仿宋_GB2312"/>
          <w:b w:val="0"/>
          <w:bCs w:val="0"/>
          <w:i w:val="0"/>
          <w:caps w:val="0"/>
          <w:color w:val="000000"/>
          <w:spacing w:val="0"/>
          <w:sz w:val="32"/>
          <w:szCs w:val="32"/>
          <w:shd w:val="clear" w:color="auto" w:fill="FFFFFF"/>
        </w:rPr>
        <w:t>（类）</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水利</w:t>
      </w:r>
      <w:r>
        <w:rPr>
          <w:rFonts w:hint="eastAsia" w:ascii="仿宋_GB2312" w:hAnsi="仿宋_GB2312" w:eastAsia="仿宋_GB2312" w:cs="仿宋_GB2312"/>
          <w:b w:val="0"/>
          <w:bCs w:val="0"/>
          <w:i w:val="0"/>
          <w:caps w:val="0"/>
          <w:color w:val="000000"/>
          <w:spacing w:val="0"/>
          <w:sz w:val="32"/>
          <w:szCs w:val="32"/>
          <w:shd w:val="clear" w:color="auto" w:fill="FFFFFF"/>
        </w:rPr>
        <w:t>（款）</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水利技术推广</w:t>
      </w:r>
      <w:r>
        <w:rPr>
          <w:rFonts w:hint="eastAsia" w:ascii="仿宋_GB2312" w:hAnsi="仿宋_GB2312" w:eastAsia="仿宋_GB2312" w:cs="仿宋_GB2312"/>
          <w:b w:val="0"/>
          <w:bCs w:val="0"/>
          <w:i w:val="0"/>
          <w:caps w:val="0"/>
          <w:color w:val="000000"/>
          <w:spacing w:val="0"/>
          <w:sz w:val="32"/>
          <w:szCs w:val="32"/>
          <w:shd w:val="clear" w:color="auto" w:fill="FFFFFF"/>
        </w:rPr>
        <w:t>（项）：指反映水利系统纳入预算管理的技术推广事业单位的支出。有关事项包括国内外先进水利技术的引进、试验、技术创新、推广、应用、宣传等。</w:t>
      </w:r>
    </w:p>
    <w:p>
      <w:pPr>
        <w:ind w:firstLine="640" w:firstLineChars="200"/>
        <w:rPr>
          <w:rFonts w:hint="eastAsia" w:ascii="仿宋_GB2312" w:hAnsi="仿宋_GB2312" w:eastAsia="仿宋_GB2312" w:cs="仿宋_GB2312"/>
          <w:color w:val="000000"/>
          <w:sz w:val="32"/>
          <w:szCs w:val="32"/>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5</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农林水支出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水利</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其他水利支出</w:t>
      </w:r>
      <w:r>
        <w:rPr>
          <w:rStyle w:val="15"/>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w:t>
      </w:r>
      <w:r>
        <w:rPr>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b w:val="0"/>
          <w:bCs w:val="0"/>
          <w:i w:val="0"/>
          <w:caps w:val="0"/>
          <w:color w:val="000000"/>
          <w:spacing w:val="0"/>
          <w:sz w:val="32"/>
          <w:szCs w:val="32"/>
          <w:shd w:val="clear" w:color="auto" w:fill="FFFFFF"/>
        </w:rPr>
        <w:t>反映其他用于水利方面的支出</w:t>
      </w:r>
      <w:r>
        <w:rPr>
          <w:rFonts w:hint="eastAsia" w:ascii="仿宋_GB2312" w:hAnsi="仿宋_GB2312" w:eastAsia="仿宋_GB2312" w:cs="仿宋_GB2312"/>
          <w:b w:val="0"/>
          <w:bCs w:val="0"/>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6</w:t>
      </w:r>
      <w:r>
        <w:rPr>
          <w:rFonts w:hint="eastAsia" w:ascii="仿宋_GB2312" w:eastAsia="仿宋_GB2312"/>
          <w:b w:val="0"/>
          <w:bCs w:val="0"/>
          <w:color w:val="000000"/>
          <w:sz w:val="32"/>
          <w:szCs w:val="32"/>
        </w:rPr>
        <w:t>.</w:t>
      </w:r>
      <w:r>
        <w:rPr>
          <w:rStyle w:val="15"/>
          <w:rFonts w:hint="eastAsia" w:ascii="仿宋_GB2312" w:eastAsia="仿宋_GB2312"/>
          <w:b w:val="0"/>
          <w:bCs w:val="0"/>
          <w:color w:val="000000"/>
          <w:sz w:val="32"/>
          <w:szCs w:val="32"/>
          <w:lang w:eastAsia="zh-CN"/>
        </w:rPr>
        <w:t>住房保障支出</w:t>
      </w:r>
      <w:r>
        <w:rPr>
          <w:rStyle w:val="15"/>
          <w:rFonts w:hint="eastAsia" w:ascii="仿宋_GB2312" w:eastAsia="仿宋_GB2312"/>
          <w:b w:val="0"/>
          <w:bCs w:val="0"/>
          <w:color w:val="000000"/>
          <w:sz w:val="32"/>
          <w:szCs w:val="32"/>
        </w:rPr>
        <w:t>（类）</w:t>
      </w:r>
      <w:r>
        <w:rPr>
          <w:rStyle w:val="15"/>
          <w:rFonts w:hint="eastAsia" w:ascii="仿宋_GB2312" w:eastAsia="仿宋_GB2312"/>
          <w:b w:val="0"/>
          <w:bCs w:val="0"/>
          <w:color w:val="000000"/>
          <w:sz w:val="32"/>
          <w:szCs w:val="32"/>
          <w:lang w:eastAsia="zh-CN"/>
        </w:rPr>
        <w:t>住房改革支出</w:t>
      </w:r>
      <w:r>
        <w:rPr>
          <w:rStyle w:val="15"/>
          <w:rFonts w:hint="eastAsia" w:ascii="仿宋_GB2312" w:eastAsia="仿宋_GB2312"/>
          <w:b w:val="0"/>
          <w:bCs w:val="0"/>
          <w:color w:val="000000"/>
          <w:sz w:val="32"/>
          <w:szCs w:val="32"/>
        </w:rPr>
        <w:t>（款）</w:t>
      </w:r>
      <w:r>
        <w:rPr>
          <w:rStyle w:val="15"/>
          <w:rFonts w:hint="eastAsia" w:ascii="仿宋_GB2312" w:eastAsia="仿宋_GB2312"/>
          <w:b w:val="0"/>
          <w:bCs w:val="0"/>
          <w:color w:val="000000"/>
          <w:sz w:val="32"/>
          <w:szCs w:val="32"/>
          <w:lang w:eastAsia="zh-CN"/>
        </w:rPr>
        <w:t>住房公积金</w:t>
      </w:r>
      <w:r>
        <w:rPr>
          <w:rStyle w:val="15"/>
          <w:rFonts w:hint="eastAsia" w:ascii="仿宋_GB2312" w:eastAsia="仿宋_GB2312"/>
          <w:b w:val="0"/>
          <w:bCs w:val="0"/>
          <w:color w:val="000000"/>
          <w:sz w:val="32"/>
          <w:szCs w:val="32"/>
        </w:rPr>
        <w:t>（项）</w:t>
      </w:r>
      <w:r>
        <w:rPr>
          <w:rFonts w:hint="eastAsia" w:ascii="仿宋_GB2312" w:eastAsia="仿宋_GB2312"/>
          <w:color w:val="000000"/>
          <w:sz w:val="32"/>
          <w:szCs w:val="32"/>
        </w:rPr>
        <w:t>：指反映行政事业单位按人事、财政部门规定的基本工资和津贴补贴以及规定比例为职工缴纳的住房公积金。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仿宋" w:hAnsi="仿宋" w:eastAsia="仿宋"/>
          <w:b/>
          <w:color w:val="FF0000"/>
          <w:sz w:val="32"/>
          <w:szCs w:val="32"/>
          <w:lang w:val="en-US" w:eastAsia="zh-CN"/>
        </w:rPr>
      </w:pPr>
      <w:r>
        <w:rPr>
          <w:rFonts w:hint="eastAsia" w:ascii="仿宋_GB2312" w:eastAsia="仿宋_GB2312"/>
          <w:color w:val="000000"/>
          <w:sz w:val="32"/>
          <w:szCs w:val="32"/>
          <w:lang w:eastAsia="zh-CN"/>
        </w:rPr>
        <w:t>　</w:t>
      </w:r>
      <w:bookmarkStart w:id="65" w:name="_Toc15396614"/>
      <w:bookmarkStart w:id="66" w:name="_Toc15377226"/>
      <w:r>
        <w:rPr>
          <w:rFonts w:hint="eastAsia" w:ascii="仿宋" w:hAnsi="仿宋" w:eastAsia="仿宋"/>
          <w:b/>
          <w:color w:val="FF0000"/>
          <w:sz w:val="32"/>
          <w:szCs w:val="32"/>
          <w:lang w:val="en-US" w:eastAsia="zh-CN"/>
        </w:rPr>
        <w:t xml:space="preserve"> </w:t>
      </w: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四部分附件</w:t>
      </w:r>
      <w:bookmarkEnd w:id="65"/>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攀枝花市水利局</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ind w:firstLine="800" w:firstLineChars="250"/>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b w:val="0"/>
          <w:bCs w:val="0"/>
          <w:sz w:val="32"/>
          <w:szCs w:val="32"/>
          <w:lang w:eastAsia="zh-CN"/>
        </w:rPr>
        <w:t>攀枝花市水利局</w:t>
      </w:r>
      <w:r>
        <w:rPr>
          <w:rFonts w:hint="eastAsia" w:ascii="仿宋_GB2312" w:hAnsi="仿宋_GB2312" w:eastAsia="仿宋_GB2312" w:cs="仿宋_GB2312"/>
          <w:b w:val="0"/>
          <w:bCs w:val="0"/>
          <w:sz w:val="32"/>
          <w:szCs w:val="32"/>
        </w:rPr>
        <w:t>下属二级单位</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个，其中行政单位</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个，参照公务员法管理的事业单位</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个，其他事业单位</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color w:val="000000"/>
          <w:sz w:val="32"/>
          <w:szCs w:val="32"/>
        </w:rPr>
        <w:t>纳入</w:t>
      </w:r>
      <w:r>
        <w:rPr>
          <w:rFonts w:hint="eastAsia" w:ascii="仿宋_GB2312" w:hAnsi="仿宋_GB2312" w:eastAsia="仿宋_GB2312" w:cs="仿宋_GB2312"/>
          <w:b w:val="0"/>
          <w:bCs w:val="0"/>
          <w:sz w:val="32"/>
          <w:szCs w:val="32"/>
          <w:lang w:eastAsia="zh-CN"/>
        </w:rPr>
        <w:t>攀枝花市水利局</w:t>
      </w:r>
      <w:r>
        <w:rPr>
          <w:rFonts w:hint="eastAsia" w:ascii="仿宋_GB2312" w:hAnsi="仿宋_GB2312" w:eastAsia="仿宋_GB2312" w:cs="仿宋_GB2312"/>
          <w:b w:val="0"/>
          <w:bCs w:val="0"/>
          <w:color w:val="000000"/>
          <w:sz w:val="32"/>
          <w:szCs w:val="32"/>
        </w:rPr>
        <w:t>2019年度部门决算编制范围的二级预算单位包括：</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攀枝花市水利局</w:t>
      </w:r>
      <w:r>
        <w:rPr>
          <w:rFonts w:hint="eastAsia" w:ascii="仿宋_GB2312" w:hAnsi="仿宋_GB2312" w:eastAsia="仿宋_GB2312" w:cs="仿宋_GB2312"/>
          <w:b w:val="0"/>
          <w:bCs w:val="0"/>
          <w:color w:val="000000"/>
          <w:sz w:val="32"/>
          <w:szCs w:val="32"/>
          <w:lang w:eastAsia="zh-CN"/>
        </w:rPr>
        <w:t>机关</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攀枝花市水政监察执法支队</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攀枝花市水资源河湖保护中心</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攀枝花市水土保持生态环境监测分站</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攀枝花市水利水电勘测设计院</w:t>
      </w: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rPr>
        <w:t>攀枝花市胜利水利工程运行中心</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1.贯彻执行国家和省有关水行政管理工作的方针、政策和法律、法规。负责保障水资源的合理开发利用；负责全市水利、水土保持、地方小水电行政管理的制度建设，拟订政策和发展规划。组织编制全市重要江河湖库的流域综合规划、水资源保护和水源地保护规划、节约用水、防洪规划等重要水利规划，组织有关全市国民经济总体规划、城乡规划、重大建设项目中涉及水利方面的论证工作。</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负责全市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防洪论证制度。负责全市水资源保护工作，指导饮用水水源保护工作；负责拟定全市节约用水政策和指导节水工作。</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3.负责组织实施水利、水土保持、地方小水电的法律法规及执法工作；调处县（区）之间的重大水事纠纷；负责有关行政复议和行政诉讼应诉工作。</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4.负责全市水土保持工作。拟订水土保持规划并监督实施，负责全市水土流失综合治理及监测工作；负责权限范围内开发建设项目水土保持方案的审批、实施、监督工作。</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5.负责地方小水电行业管理工作。负责全市小水电建设项目涉水事务的监督管理。</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6.负责全市江河的综合开发与管理工作。负责全市河道、水库、湖泊、河口滩涂的行政管理及河道管护范围内砂石资源等的开发、利用和保护；负责对占用河道、河堤通道设施（包括临时设施）等行为的行政监督管理工作。</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7.指导农村水利工作。参与协调农田水利基本建设，指导农村饮水安全等工程建设与管理工作，指导农村水利社会化服务体系建设；按规定指导农村水能资源开发工作，指导水电农村电气化和小水电代燃料工作。</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8.指导全市水利发展和水利行业劳动保护、科技推广、安全生产工作。</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9.负责防治水旱灾害，组织、协调、监督、指导全市防洪抢险及抗旱工作。编制全市防汛抗旱应急预案并组织实施，指导水利突发公共事件应急管理工作。</w:t>
      </w:r>
    </w:p>
    <w:p>
      <w:pPr>
        <w:keepNext w:val="0"/>
        <w:keepLines w:val="0"/>
        <w:pageBreakBefore w:val="0"/>
        <w:kinsoku/>
        <w:wordWrap/>
        <w:overflowPunct/>
        <w:topLinePunct w:val="0"/>
        <w:autoSpaceDE/>
        <w:autoSpaceDN/>
        <w:bidi w:val="0"/>
        <w:adjustRightInd/>
        <w:snapToGrid w:val="0"/>
        <w:spacing w:line="560" w:lineRule="exact"/>
        <w:ind w:left="0" w:leftChars="0" w:firstLine="636" w:firstLineChars="199"/>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10.承担市政府公布的有关行政审批事项。</w:t>
      </w:r>
    </w:p>
    <w:p>
      <w:pPr>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仿宋" w:eastAsia="仿宋_GB2312"/>
          <w:color w:val="000000"/>
          <w:sz w:val="32"/>
          <w:szCs w:val="32"/>
          <w:lang w:val="en-US" w:eastAsia="zh-CN"/>
        </w:rPr>
        <w:t>11.承办市政府交办的其他事项。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截至</w:t>
      </w:r>
      <w:r>
        <w:rPr>
          <w:rFonts w:hint="eastAsia" w:ascii="仿宋_GB2312" w:hAnsi="宋体" w:eastAsia="仿宋_GB2312" w:cs="宋体"/>
          <w:color w:val="000000"/>
          <w:kern w:val="0"/>
          <w:sz w:val="32"/>
          <w:szCs w:val="32"/>
          <w:shd w:val="clear" w:color="auto" w:fill="FFFFFF"/>
          <w:lang w:val="en-US" w:eastAsia="zh-CN"/>
        </w:rPr>
        <w:t>2019年12月31日在职人员89人，其中：行政人员24人，参照公务员法管理事业人员12人，非参公事业人员53人。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outlineLvl w:val="1"/>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sz w:val="32"/>
          <w:szCs w:val="32"/>
        </w:rPr>
        <w:t>2019年本年收入合计</w:t>
      </w:r>
      <w:r>
        <w:rPr>
          <w:rFonts w:hint="eastAsia" w:ascii="仿宋_GB2312" w:hAnsi="仿宋_GB2312" w:eastAsia="仿宋_GB2312" w:cs="仿宋_GB2312"/>
          <w:color w:val="000000"/>
          <w:sz w:val="32"/>
          <w:szCs w:val="32"/>
          <w:lang w:val="en-US" w:eastAsia="zh-CN"/>
        </w:rPr>
        <w:t>3401.94</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3037.3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89.28</w:t>
      </w:r>
      <w:r>
        <w:rPr>
          <w:rFonts w:hint="eastAsia" w:ascii="仿宋_GB2312" w:hAnsi="仿宋_GB2312" w:eastAsia="仿宋_GB2312" w:cs="仿宋_GB2312"/>
          <w:color w:val="000000"/>
          <w:sz w:val="32"/>
          <w:szCs w:val="32"/>
        </w:rPr>
        <w:t>%；政府性基金预算财政拨款收入</w:t>
      </w:r>
      <w:r>
        <w:rPr>
          <w:rFonts w:hint="eastAsia" w:ascii="仿宋_GB2312" w:hAnsi="仿宋_GB2312" w:eastAsia="仿宋_GB2312" w:cs="仿宋_GB2312"/>
          <w:color w:val="000000"/>
          <w:sz w:val="32"/>
          <w:szCs w:val="32"/>
          <w:lang w:val="en-US" w:eastAsia="zh-CN"/>
        </w:rPr>
        <w:t>364.64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10.72</w:t>
      </w:r>
      <w:r>
        <w:rPr>
          <w:rFonts w:hint="eastAsia" w:ascii="仿宋_GB2312" w:hAnsi="仿宋_GB2312" w:eastAsia="仿宋_GB2312" w:cs="仿宋_GB2312"/>
          <w:color w:val="000000"/>
          <w:sz w:val="32"/>
          <w:szCs w:val="32"/>
        </w:rPr>
        <w:t>%。</w:t>
      </w:r>
    </w:p>
    <w:p>
      <w:pPr>
        <w:widowControl/>
        <w:numPr>
          <w:ilvl w:val="0"/>
          <w:numId w:val="5"/>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ind w:left="0" w:leftChars="0" w:firstLine="419" w:firstLineChars="131"/>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color w:val="000000"/>
          <w:sz w:val="32"/>
          <w:szCs w:val="32"/>
        </w:rPr>
        <w:t>2019年本年支出合计</w:t>
      </w:r>
      <w:r>
        <w:rPr>
          <w:rFonts w:hint="eastAsia" w:ascii="仿宋_GB2312" w:hAnsi="仿宋_GB2312" w:eastAsia="仿宋_GB2312" w:cs="仿宋_GB2312"/>
          <w:color w:val="000000"/>
          <w:sz w:val="32"/>
          <w:szCs w:val="32"/>
          <w:lang w:val="en-US" w:eastAsia="zh-CN"/>
        </w:rPr>
        <w:t>3118.37</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1975.85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63.36</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1142.52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36.64</w:t>
      </w:r>
      <w:r>
        <w:rPr>
          <w:rFonts w:hint="eastAsia" w:ascii="仿宋_GB2312" w:hAnsi="仿宋_GB2312" w:eastAsia="仿宋_GB2312" w:cs="仿宋_GB2312"/>
          <w:color w:val="00000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kern w:val="44"/>
          <w:sz w:val="32"/>
          <w:szCs w:val="32"/>
          <w:lang w:eastAsia="zh-CN"/>
        </w:rPr>
      </w:pPr>
      <w:r>
        <w:rPr>
          <w:rFonts w:hint="eastAsia" w:ascii="仿宋_GB2312" w:hAnsi="仿宋_GB2312" w:eastAsia="仿宋_GB2312" w:cs="仿宋_GB2312"/>
          <w:b w:val="0"/>
          <w:bCs/>
          <w:kern w:val="44"/>
          <w:sz w:val="32"/>
          <w:szCs w:val="32"/>
        </w:rPr>
        <w:t>在预算保障上，将部门目标和工作任务紧紧联系在一起</w:t>
      </w:r>
      <w:r>
        <w:rPr>
          <w:rFonts w:hint="eastAsia" w:ascii="仿宋_GB2312" w:hAnsi="仿宋_GB2312" w:eastAsia="仿宋_GB2312" w:cs="仿宋_GB2312"/>
          <w:b w:val="0"/>
          <w:bCs/>
          <w:kern w:val="44"/>
          <w:sz w:val="32"/>
          <w:szCs w:val="32"/>
          <w:lang w:eastAsia="zh-CN"/>
        </w:rPr>
        <w:t>，</w:t>
      </w:r>
      <w:r>
        <w:rPr>
          <w:rFonts w:hint="eastAsia" w:ascii="仿宋_GB2312" w:hAnsi="仿宋_GB2312" w:eastAsia="仿宋_GB2312" w:cs="仿宋_GB2312"/>
          <w:b w:val="0"/>
          <w:bCs/>
          <w:kern w:val="44"/>
          <w:sz w:val="32"/>
          <w:szCs w:val="32"/>
        </w:rPr>
        <w:t>合理安排资金</w:t>
      </w:r>
      <w:r>
        <w:rPr>
          <w:rFonts w:hint="eastAsia" w:ascii="仿宋_GB2312" w:hAnsi="仿宋_GB2312" w:eastAsia="仿宋_GB2312" w:cs="仿宋_GB2312"/>
          <w:b w:val="0"/>
          <w:bCs/>
          <w:kern w:val="44"/>
          <w:sz w:val="32"/>
          <w:szCs w:val="32"/>
          <w:lang w:eastAsia="zh-CN"/>
        </w:rPr>
        <w:t>，</w:t>
      </w:r>
      <w:r>
        <w:rPr>
          <w:rFonts w:hint="eastAsia" w:ascii="仿宋_GB2312" w:hAnsi="仿宋_GB2312" w:eastAsia="仿宋_GB2312" w:cs="仿宋_GB2312"/>
          <w:b w:val="0"/>
          <w:bCs/>
          <w:kern w:val="44"/>
          <w:sz w:val="32"/>
          <w:szCs w:val="32"/>
        </w:rPr>
        <w:t>达到部门职责与预算项目实施内容匹配，财政资源搭配合理的要求</w:t>
      </w:r>
      <w:r>
        <w:rPr>
          <w:rFonts w:hint="eastAsia" w:ascii="仿宋_GB2312" w:hAnsi="仿宋_GB2312" w:eastAsia="仿宋_GB2312" w:cs="仿宋_GB2312"/>
          <w:b w:val="0"/>
          <w:bCs/>
          <w:kern w:val="44"/>
          <w:sz w:val="32"/>
          <w:szCs w:val="32"/>
          <w:lang w:eastAsia="zh-CN"/>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pStyle w:val="7"/>
        <w:numPr>
          <w:ilvl w:val="0"/>
          <w:numId w:val="0"/>
        </w:numPr>
        <w:spacing w:line="600" w:lineRule="exact"/>
        <w:ind w:firstLine="0" w:firstLineChars="0"/>
        <w:jc w:val="left"/>
        <w:rPr>
          <w:rFonts w:hint="eastAsia" w:ascii="仿宋_GB2312" w:hAnsi="仿宋_GB2312" w:eastAsia="仿宋_GB2312" w:cs="仿宋_GB2312"/>
          <w:sz w:val="32"/>
          <w:szCs w:val="32"/>
          <w:lang w:val="en-US" w:eastAsia="zh-CN"/>
        </w:rPr>
      </w:pPr>
      <w:r>
        <w:rPr>
          <w:rFonts w:hint="eastAsia" w:eastAsia="仿宋_GB2312"/>
          <w:kern w:val="0"/>
          <w:sz w:val="32"/>
          <w:highlight w:val="white"/>
          <w:lang w:val="zh-CN"/>
        </w:rPr>
        <w:t>　　通过绩效评价</w:t>
      </w:r>
      <w:r>
        <w:rPr>
          <w:rFonts w:hint="eastAsia" w:eastAsia="仿宋_GB2312"/>
          <w:kern w:val="0"/>
          <w:sz w:val="32"/>
          <w:highlight w:val="white"/>
          <w:lang w:val="zh-CN" w:eastAsia="zh-CN"/>
        </w:rPr>
        <w:t>及项目</w:t>
      </w:r>
      <w:r>
        <w:rPr>
          <w:rFonts w:hint="eastAsia" w:eastAsia="仿宋_GB2312"/>
          <w:kern w:val="0"/>
          <w:sz w:val="32"/>
          <w:highlight w:val="white"/>
          <w:lang w:val="zh-CN"/>
        </w:rPr>
        <w:t>完成情况的收集，为上级部门提供决策依据，将资金绩效评价结果作为下年度资金安排的重要依据。</w:t>
      </w:r>
      <w:r>
        <w:rPr>
          <w:rFonts w:hint="eastAsia" w:ascii="仿宋_GB2312" w:hAnsi="仿宋_GB2312" w:eastAsia="仿宋_GB2312" w:cs="仿宋_GB2312"/>
          <w:sz w:val="32"/>
          <w:szCs w:val="32"/>
          <w:lang w:val="en-US" w:eastAsia="zh-CN"/>
        </w:rPr>
        <w:t>将评价结果用于改进部门整体运行绩效，用于提升项目（专项）资金支出绩效。</w:t>
      </w:r>
    </w:p>
    <w:p>
      <w:pPr>
        <w:pStyle w:val="7"/>
        <w:numPr>
          <w:ilvl w:val="0"/>
          <w:numId w:val="0"/>
        </w:numPr>
        <w:spacing w:line="600" w:lineRule="exact"/>
        <w:ind w:firstLine="640" w:firstLineChars="200"/>
        <w:jc w:val="left"/>
        <w:rPr>
          <w:rFonts w:hint="eastAsia" w:eastAsia="仿宋_GB2312"/>
          <w:kern w:val="0"/>
          <w:sz w:val="32"/>
          <w:lang w:val="zh-CN"/>
        </w:rPr>
      </w:pPr>
      <w:r>
        <w:rPr>
          <w:rFonts w:hint="eastAsia" w:ascii="仿宋_GB2312" w:hAnsi="仿宋_GB2312" w:eastAsia="仿宋_GB2312" w:cs="仿宋_GB2312"/>
          <w:sz w:val="32"/>
          <w:szCs w:val="32"/>
          <w:lang w:val="en-US" w:eastAsia="zh-CN"/>
        </w:rPr>
        <w:t>我部门主动将部门整体绩效、项目（专项）资金使用绩效等绩效信息向社会公开，</w:t>
      </w:r>
      <w:r>
        <w:rPr>
          <w:rFonts w:hint="eastAsia" w:eastAsia="仿宋_GB2312"/>
          <w:kern w:val="0"/>
          <w:sz w:val="32"/>
          <w:lang w:val="zh-CN"/>
        </w:rPr>
        <w:t>让群众监督项目实施的结果和效益。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lang w:val="zh-CN"/>
        </w:rPr>
        <w:t>对照批复绩效目标，总体上看，</w:t>
      </w:r>
      <w:r>
        <w:rPr>
          <w:rFonts w:hint="eastAsia" w:ascii="仿宋_GB2312" w:hAnsi="仿宋_GB2312" w:eastAsia="仿宋_GB2312" w:cs="仿宋_GB2312"/>
          <w:color w:val="000000"/>
          <w:kern w:val="0"/>
          <w:sz w:val="32"/>
          <w:szCs w:val="32"/>
          <w:lang w:val="zh-CN" w:eastAsia="zh-CN"/>
        </w:rPr>
        <w:t>我局</w:t>
      </w:r>
      <w:r>
        <w:rPr>
          <w:rFonts w:hint="eastAsia" w:ascii="仿宋_GB2312" w:hAnsi="仿宋_GB2312" w:eastAsia="仿宋_GB2312" w:cs="仿宋_GB2312"/>
          <w:color w:val="000000"/>
          <w:sz w:val="32"/>
          <w:szCs w:val="32"/>
        </w:rPr>
        <w:t>2019年度部门预算整体绩效</w:t>
      </w:r>
      <w:r>
        <w:rPr>
          <w:rFonts w:hint="eastAsia" w:ascii="仿宋_GB2312" w:hAnsi="仿宋_GB2312" w:eastAsia="仿宋_GB2312" w:cs="仿宋_GB2312"/>
          <w:color w:val="000000"/>
          <w:sz w:val="32"/>
          <w:szCs w:val="32"/>
          <w:lang w:eastAsia="zh-CN"/>
        </w:rPr>
        <w:t>执行比较好，</w:t>
      </w:r>
      <w:r>
        <w:rPr>
          <w:rFonts w:hint="eastAsia" w:ascii="仿宋_GB2312" w:hAnsi="仿宋_GB2312" w:eastAsia="仿宋_GB2312" w:cs="仿宋_GB2312"/>
          <w:color w:val="auto"/>
          <w:kern w:val="0"/>
          <w:sz w:val="32"/>
          <w:szCs w:val="32"/>
          <w:lang w:val="en-US" w:eastAsia="zh-CN"/>
        </w:rPr>
        <w:t>圆满完成了省、市各项目标任务。</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lang w:val="zh-CN"/>
        </w:rPr>
        <w:t>　　</w:t>
      </w:r>
      <w:r>
        <w:rPr>
          <w:rFonts w:hint="eastAsia" w:ascii="仿宋_GB2312" w:hAnsi="仿宋_GB2312" w:eastAsia="仿宋_GB2312" w:cs="仿宋_GB2312"/>
          <w:color w:val="auto"/>
          <w:kern w:val="0"/>
          <w:sz w:val="32"/>
          <w:szCs w:val="32"/>
          <w:lang w:val="en-US" w:eastAsia="zh-CN"/>
        </w:rPr>
        <w:t>今年个别项目因机构改革，职能划转等因素调整了部门预算项目，造成了项目执行时间延后，未保证项目按时完成；执行过程中因按规定流程操作时间长，影响了支付滞后。</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改进建议。</w:t>
      </w:r>
    </w:p>
    <w:p>
      <w:pPr>
        <w:numPr>
          <w:ilvl w:val="0"/>
          <w:numId w:val="0"/>
        </w:numPr>
        <w:autoSpaceDE w:val="0"/>
        <w:autoSpaceDN w:val="0"/>
        <w:adjustRightInd w:val="0"/>
        <w:spacing w:beforeLines="0" w:afterLines="0" w:line="640" w:lineRule="exact"/>
        <w:ind w:firstLine="640" w:firstLineChars="200"/>
        <w:rPr>
          <w:rFonts w:hint="eastAsia" w:ascii="仿宋_GB2312" w:hAnsi="仿宋_GB2312" w:eastAsia="仿宋_GB2312" w:cs="仿宋_GB2312"/>
          <w:b w:val="0"/>
          <w:bCs/>
          <w:color w:val="000000"/>
          <w:kern w:val="0"/>
          <w:sz w:val="32"/>
          <w:lang w:val="zh-CN"/>
        </w:rPr>
      </w:pPr>
      <w:r>
        <w:rPr>
          <w:rFonts w:hint="eastAsia" w:ascii="仿宋_GB2312" w:hAnsi="仿宋_GB2312" w:eastAsia="仿宋_GB2312" w:cs="仿宋_GB2312"/>
          <w:b w:val="0"/>
          <w:bCs/>
          <w:color w:val="000000"/>
          <w:kern w:val="0"/>
          <w:sz w:val="32"/>
          <w:lang w:val="en-US" w:eastAsia="zh-CN"/>
        </w:rPr>
        <w:t>1.</w:t>
      </w:r>
      <w:r>
        <w:rPr>
          <w:rFonts w:hint="eastAsia" w:ascii="仿宋_GB2312" w:hAnsi="仿宋_GB2312" w:eastAsia="仿宋_GB2312" w:cs="仿宋_GB2312"/>
          <w:b w:val="0"/>
          <w:bCs/>
          <w:color w:val="000000"/>
          <w:kern w:val="0"/>
          <w:sz w:val="32"/>
          <w:lang w:eastAsia="zh-CN"/>
        </w:rPr>
        <w:t>做好预算项目</w:t>
      </w:r>
      <w:r>
        <w:rPr>
          <w:rFonts w:hint="eastAsia" w:ascii="仿宋_GB2312" w:hAnsi="仿宋_GB2312" w:eastAsia="仿宋_GB2312" w:cs="仿宋_GB2312"/>
          <w:b w:val="0"/>
          <w:bCs/>
          <w:color w:val="000000"/>
          <w:kern w:val="0"/>
          <w:sz w:val="32"/>
          <w:lang w:val="zh-CN"/>
        </w:rPr>
        <w:t>事前绩效评估</w:t>
      </w:r>
    </w:p>
    <w:p>
      <w:pPr>
        <w:numPr>
          <w:ilvl w:val="0"/>
          <w:numId w:val="0"/>
        </w:numPr>
        <w:autoSpaceDE w:val="0"/>
        <w:autoSpaceDN w:val="0"/>
        <w:adjustRightInd w:val="0"/>
        <w:spacing w:beforeLines="0" w:afterLines="0" w:line="640" w:lineRule="exact"/>
        <w:ind w:firstLine="640" w:firstLineChars="200"/>
        <w:rPr>
          <w:rFonts w:hint="eastAsia" w:ascii="仿宋_GB2312" w:hAnsi="仿宋_GB2312" w:eastAsia="仿宋_GB2312" w:cs="仿宋_GB2312"/>
          <w:b w:val="0"/>
          <w:bCs/>
          <w:color w:val="000000"/>
          <w:kern w:val="0"/>
          <w:sz w:val="32"/>
          <w:lang w:val="zh-CN"/>
        </w:rPr>
      </w:pPr>
      <w:r>
        <w:rPr>
          <w:rFonts w:hint="eastAsia" w:ascii="仿宋_GB2312" w:hAnsi="仿宋_GB2312" w:eastAsia="仿宋_GB2312" w:cs="仿宋_GB2312"/>
          <w:b w:val="0"/>
          <w:bCs/>
          <w:color w:val="000000"/>
          <w:kern w:val="0"/>
          <w:sz w:val="32"/>
          <w:lang w:val="zh-CN"/>
        </w:rPr>
        <w:t>编制年度预算支出时按统筹兼顾、突出重点、量力而行原则，对项目预算支出开展事前绩效评估，评估结果作为申请预算的依据。</w:t>
      </w:r>
    </w:p>
    <w:p>
      <w:pPr>
        <w:numPr>
          <w:ilvl w:val="0"/>
          <w:numId w:val="0"/>
        </w:numPr>
        <w:autoSpaceDE w:val="0"/>
        <w:autoSpaceDN w:val="0"/>
        <w:adjustRightInd w:val="0"/>
        <w:spacing w:beforeLines="0" w:afterLines="0" w:line="640" w:lineRule="exact"/>
        <w:ind w:firstLine="640" w:firstLineChars="200"/>
        <w:rPr>
          <w:rFonts w:hint="eastAsia" w:ascii="仿宋_GB2312" w:hAnsi="仿宋_GB2312" w:eastAsia="仿宋_GB2312" w:cs="仿宋_GB2312"/>
          <w:b w:val="0"/>
          <w:bCs/>
          <w:color w:val="000000"/>
          <w:kern w:val="0"/>
          <w:sz w:val="32"/>
          <w:lang w:val="zh-CN"/>
        </w:rPr>
      </w:pPr>
      <w:r>
        <w:rPr>
          <w:rFonts w:hint="eastAsia" w:ascii="仿宋_GB2312" w:hAnsi="仿宋_GB2312" w:eastAsia="仿宋_GB2312" w:cs="仿宋_GB2312"/>
          <w:b w:val="0"/>
          <w:bCs/>
          <w:color w:val="000000"/>
          <w:kern w:val="0"/>
          <w:sz w:val="32"/>
          <w:lang w:val="en-US" w:eastAsia="zh-CN"/>
        </w:rPr>
        <w:t>2.</w:t>
      </w:r>
      <w:r>
        <w:rPr>
          <w:rFonts w:hint="eastAsia" w:ascii="仿宋_GB2312" w:hAnsi="仿宋_GB2312" w:eastAsia="仿宋_GB2312" w:cs="仿宋_GB2312"/>
          <w:b w:val="0"/>
          <w:bCs/>
          <w:color w:val="000000"/>
          <w:kern w:val="0"/>
          <w:sz w:val="32"/>
          <w:lang w:eastAsia="zh-CN"/>
        </w:rPr>
        <w:t>加强预算项目</w:t>
      </w:r>
      <w:r>
        <w:rPr>
          <w:rFonts w:hint="eastAsia" w:ascii="仿宋_GB2312" w:hAnsi="仿宋_GB2312" w:eastAsia="仿宋_GB2312" w:cs="仿宋_GB2312"/>
          <w:b w:val="0"/>
          <w:bCs/>
          <w:color w:val="000000"/>
          <w:kern w:val="0"/>
          <w:sz w:val="32"/>
          <w:lang w:val="zh-CN"/>
        </w:rPr>
        <w:t>事中绩效监控。</w:t>
      </w:r>
    </w:p>
    <w:p>
      <w:pPr>
        <w:numPr>
          <w:ilvl w:val="0"/>
          <w:numId w:val="0"/>
        </w:numPr>
        <w:autoSpaceDE w:val="0"/>
        <w:autoSpaceDN w:val="0"/>
        <w:adjustRightInd w:val="0"/>
        <w:spacing w:beforeLines="0" w:afterLines="0" w:line="640" w:lineRule="exact"/>
        <w:ind w:firstLine="640" w:firstLineChars="200"/>
        <w:rPr>
          <w:rFonts w:hint="eastAsia" w:ascii="仿宋_GB2312" w:hAnsi="仿宋_GB2312" w:eastAsia="仿宋_GB2312" w:cs="仿宋_GB2312"/>
          <w:bCs/>
          <w:color w:val="000000"/>
          <w:kern w:val="0"/>
          <w:sz w:val="32"/>
          <w:lang w:val="zh-CN"/>
        </w:rPr>
      </w:pPr>
      <w:r>
        <w:rPr>
          <w:rFonts w:hint="eastAsia" w:ascii="仿宋_GB2312" w:hAnsi="仿宋_GB2312" w:eastAsia="仿宋_GB2312" w:cs="仿宋_GB2312"/>
          <w:bCs/>
          <w:color w:val="000000"/>
          <w:kern w:val="0"/>
          <w:sz w:val="32"/>
          <w:lang w:val="zh-CN"/>
        </w:rPr>
        <w:t>预算项目执行以序时进度或项目实施进度作为参照</w:t>
      </w:r>
      <w:r>
        <w:rPr>
          <w:rFonts w:hint="eastAsia" w:ascii="仿宋_GB2312" w:hAnsi="仿宋_GB2312" w:eastAsia="仿宋_GB2312" w:cs="仿宋_GB2312"/>
          <w:bCs/>
          <w:color w:val="000000"/>
          <w:kern w:val="0"/>
          <w:sz w:val="32"/>
          <w:lang w:val="en-US" w:eastAsia="zh-CN"/>
        </w:rPr>
        <w:t>，</w:t>
      </w:r>
      <w:r>
        <w:rPr>
          <w:rFonts w:hint="eastAsia" w:ascii="仿宋_GB2312" w:hAnsi="仿宋_GB2312" w:eastAsia="仿宋_GB2312" w:cs="仿宋_GB2312"/>
          <w:bCs/>
          <w:color w:val="000000"/>
          <w:kern w:val="0"/>
          <w:sz w:val="32"/>
          <w:lang w:val="zh-CN"/>
        </w:rPr>
        <w:t>对绩效目标出现方向偏差、进度滞后进行调整和催促。</w:t>
      </w:r>
    </w:p>
    <w:p>
      <w:pPr>
        <w:numPr>
          <w:ilvl w:val="0"/>
          <w:numId w:val="0"/>
        </w:numPr>
        <w:autoSpaceDE w:val="0"/>
        <w:autoSpaceDN w:val="0"/>
        <w:adjustRightInd w:val="0"/>
        <w:spacing w:beforeLines="0" w:afterLines="0" w:line="640" w:lineRule="exact"/>
        <w:ind w:leftChars="200"/>
        <w:rPr>
          <w:rFonts w:hint="eastAsia" w:ascii="仿宋_GB2312" w:hAnsi="仿宋_GB2312" w:eastAsia="仿宋_GB2312" w:cs="仿宋_GB2312"/>
          <w:bCs/>
          <w:color w:val="000000"/>
          <w:kern w:val="0"/>
          <w:sz w:val="32"/>
          <w:lang w:val="en-US" w:eastAsia="zh-CN"/>
        </w:rPr>
      </w:pPr>
      <w:r>
        <w:rPr>
          <w:rFonts w:hint="eastAsia" w:ascii="仿宋_GB2312" w:hAnsi="仿宋_GB2312" w:eastAsia="仿宋_GB2312" w:cs="仿宋_GB2312"/>
          <w:b w:val="0"/>
          <w:bCs/>
          <w:color w:val="000000"/>
          <w:kern w:val="0"/>
          <w:sz w:val="32"/>
          <w:lang w:val="en-US" w:eastAsia="zh-CN"/>
        </w:rPr>
        <w:t>　3.</w:t>
      </w:r>
      <w:r>
        <w:rPr>
          <w:rFonts w:hint="eastAsia" w:ascii="仿宋_GB2312" w:hAnsi="仿宋_GB2312" w:eastAsia="仿宋_GB2312" w:cs="仿宋_GB2312"/>
          <w:b w:val="0"/>
          <w:bCs/>
          <w:color w:val="000000"/>
          <w:kern w:val="0"/>
          <w:sz w:val="32"/>
          <w:lang w:val="zh-CN"/>
        </w:rPr>
        <w:t>事后认真进行绩效评价。</w:t>
      </w:r>
    </w:p>
    <w:p>
      <w:pPr>
        <w:numPr>
          <w:ilvl w:val="0"/>
          <w:numId w:val="0"/>
        </w:numPr>
        <w:autoSpaceDE w:val="0"/>
        <w:autoSpaceDN w:val="0"/>
        <w:adjustRightInd w:val="0"/>
        <w:spacing w:beforeLines="0" w:afterLines="0" w:line="640" w:lineRule="exact"/>
        <w:ind w:left="0" w:leftChars="0" w:firstLine="419" w:firstLineChars="131"/>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kern w:val="0"/>
          <w:sz w:val="32"/>
          <w:lang w:val="en-US" w:eastAsia="zh-CN"/>
        </w:rPr>
        <w:t>　通过项目预算绩效评价，运用绩效评价结果提高</w:t>
      </w:r>
      <w:r>
        <w:rPr>
          <w:rFonts w:hint="eastAsia" w:ascii="仿宋_GB2312" w:hAnsi="仿宋_GB2312" w:eastAsia="仿宋_GB2312" w:cs="仿宋_GB2312"/>
          <w:bCs/>
          <w:color w:val="000000"/>
          <w:sz w:val="32"/>
          <w:szCs w:val="32"/>
          <w:lang w:val="en-US" w:eastAsia="zh-CN"/>
        </w:rPr>
        <w:t>预算编制的科学性。</w:t>
      </w:r>
    </w:p>
    <w:p>
      <w:pPr>
        <w:widowControl/>
        <w:numPr>
          <w:ilvl w:val="0"/>
          <w:numId w:val="0"/>
        </w:numPr>
        <w:adjustRightInd w:val="0"/>
        <w:snapToGrid w:val="0"/>
        <w:spacing w:line="580" w:lineRule="exact"/>
        <w:ind w:left="0" w:leftChars="0" w:firstLine="419" w:firstLineChars="131"/>
        <w:contextualSpacing/>
        <w:jc w:val="left"/>
        <w:rPr>
          <w:rFonts w:hint="eastAsia" w:ascii="仿宋_GB2312" w:hAnsi="宋体" w:eastAsia="仿宋_GB2312" w:cs="宋体"/>
          <w:color w:val="000000"/>
          <w:kern w:val="0"/>
          <w:sz w:val="32"/>
          <w:szCs w:val="32"/>
          <w:shd w:val="clear" w:color="auto" w:fill="FFFFFF"/>
          <w:lang w:val="zh-CN"/>
        </w:rPr>
      </w:pPr>
      <w:r>
        <w:rPr>
          <w:rFonts w:hint="eastAsia" w:eastAsia="仿宋_GB2312"/>
          <w:kern w:val="0"/>
          <w:sz w:val="32"/>
          <w:lang w:val="en-US" w:eastAsia="zh-CN"/>
        </w:rPr>
        <w:t>　4</w:t>
      </w:r>
      <w:r>
        <w:rPr>
          <w:rFonts w:hint="default" w:eastAsia="仿宋_GB2312"/>
          <w:kern w:val="0"/>
          <w:sz w:val="32"/>
          <w:lang w:val="zh-CN"/>
        </w:rPr>
        <w:t>.</w:t>
      </w:r>
      <w:r>
        <w:rPr>
          <w:rFonts w:hint="eastAsia" w:eastAsia="仿宋_GB2312"/>
          <w:kern w:val="0"/>
          <w:sz w:val="32"/>
          <w:lang w:val="zh-CN"/>
        </w:rPr>
        <w:t>建议进一步加强绩效评价业务培训，以提高绩效评价工作能力和工作效率</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spacing w:line="580" w:lineRule="exact"/>
        <w:rPr>
          <w:rFonts w:ascii="仿宋_GB2312" w:hAnsi="仿宋_GB2312" w:eastAsia="仿宋_GB2312" w:cs="仿宋_GB2312"/>
          <w:color w:val="auto"/>
          <w:sz w:val="32"/>
          <w:szCs w:val="32"/>
        </w:rPr>
      </w:pPr>
      <w:r>
        <w:rPr>
          <w:rFonts w:hint="eastAsia" w:ascii="黑体" w:hAnsi="黑体" w:eastAsia="黑体" w:cs="黑体"/>
          <w:color w:val="auto"/>
          <w:sz w:val="32"/>
          <w:szCs w:val="32"/>
        </w:rPr>
        <w:t>附件2</w:t>
      </w:r>
    </w:p>
    <w:p>
      <w:pPr>
        <w:spacing w:line="580" w:lineRule="exact"/>
        <w:ind w:firstLine="640" w:firstLineChars="200"/>
        <w:rPr>
          <w:rFonts w:ascii="仿宋_GB2312" w:hAnsi="仿宋_GB2312" w:eastAsia="仿宋_GB2312" w:cs="仿宋_GB2312"/>
          <w:color w:val="auto"/>
          <w:sz w:val="32"/>
          <w:szCs w:val="32"/>
        </w:rPr>
      </w:pPr>
    </w:p>
    <w:p>
      <w:pPr>
        <w:spacing w:line="600" w:lineRule="exact"/>
        <w:jc w:val="center"/>
        <w:rPr>
          <w:rFonts w:hint="eastAsia" w:ascii="方正小标宋简体" w:hAnsi="方正小标宋简体" w:eastAsia="方正小标宋简体" w:cs="方正小标宋简体"/>
          <w:color w:val="auto"/>
          <w:kern w:val="0"/>
          <w:sz w:val="44"/>
          <w:szCs w:val="44"/>
          <w:lang w:val="zh-CN"/>
        </w:rPr>
      </w:pPr>
      <w:r>
        <w:rPr>
          <w:rFonts w:hint="eastAsia" w:ascii="方正小标宋简体" w:hAnsi="方正小标宋简体" w:eastAsia="方正小标宋简体" w:cs="方正小标宋简体"/>
          <w:color w:val="auto"/>
          <w:sz w:val="44"/>
          <w:szCs w:val="44"/>
        </w:rPr>
        <w:t>市级防汛物资储备经费</w:t>
      </w:r>
      <w:r>
        <w:rPr>
          <w:rFonts w:hint="eastAsia" w:ascii="方正小标宋简体" w:hAnsi="方正小标宋简体" w:eastAsia="方正小标宋简体" w:cs="方正小标宋简体"/>
          <w:color w:val="auto"/>
          <w:kern w:val="0"/>
          <w:sz w:val="44"/>
          <w:szCs w:val="44"/>
          <w:lang w:val="zh-CN"/>
        </w:rPr>
        <w:t>项目</w:t>
      </w:r>
    </w:p>
    <w:p>
      <w:pPr>
        <w:spacing w:line="600" w:lineRule="exact"/>
        <w:jc w:val="center"/>
        <w:rPr>
          <w:rFonts w:hint="eastAsia" w:ascii="方正小标宋简体" w:hAnsi="方正小标宋简体" w:eastAsia="方正小标宋简体" w:cs="方正小标宋简体"/>
          <w:color w:val="auto"/>
          <w:kern w:val="0"/>
          <w:sz w:val="44"/>
          <w:szCs w:val="44"/>
          <w:lang w:val="zh-CN"/>
        </w:rPr>
      </w:pPr>
      <w:r>
        <w:rPr>
          <w:rFonts w:hint="eastAsia" w:ascii="方正小标宋简体" w:hAnsi="方正小标宋简体" w:eastAsia="方正小标宋简体" w:cs="方正小标宋简体"/>
          <w:color w:val="auto"/>
          <w:kern w:val="0"/>
          <w:sz w:val="44"/>
          <w:szCs w:val="44"/>
        </w:rPr>
        <w:t>2019年</w:t>
      </w:r>
      <w:r>
        <w:rPr>
          <w:rFonts w:hint="eastAsia" w:ascii="方正小标宋简体" w:hAnsi="方正小标宋简体" w:eastAsia="方正小标宋简体" w:cs="方正小标宋简体"/>
          <w:color w:val="auto"/>
          <w:kern w:val="0"/>
          <w:sz w:val="44"/>
          <w:szCs w:val="44"/>
          <w:lang w:val="zh-CN"/>
        </w:rPr>
        <w:t>绩效评价报告</w:t>
      </w:r>
    </w:p>
    <w:p>
      <w:pPr>
        <w:spacing w:line="600" w:lineRule="exact"/>
        <w:rPr>
          <w:rFonts w:hint="eastAsia" w:ascii="方正小标宋简体" w:hAnsi="方正小标宋简体" w:eastAsia="方正小标宋简体" w:cs="方正小标宋简体"/>
          <w:color w:val="auto"/>
          <w:sz w:val="32"/>
          <w:szCs w:val="32"/>
          <w:lang w:val="zh-CN"/>
        </w:rPr>
      </w:pPr>
    </w:p>
    <w:p>
      <w:pPr>
        <w:adjustRightInd w:val="0"/>
        <w:snapToGrid w:val="0"/>
        <w:spacing w:line="600" w:lineRule="exact"/>
        <w:ind w:firstLine="720"/>
        <w:rPr>
          <w:rFonts w:ascii="黑体" w:hAnsi="宋体" w:eastAsia="黑体"/>
          <w:color w:val="auto"/>
          <w:sz w:val="32"/>
          <w:szCs w:val="32"/>
          <w:lang w:val="zh-CN"/>
        </w:rPr>
      </w:pPr>
      <w:r>
        <w:rPr>
          <w:rFonts w:hint="eastAsia" w:ascii="黑体" w:hAnsi="宋体" w:eastAsia="黑体"/>
          <w:color w:val="auto"/>
          <w:sz w:val="32"/>
          <w:szCs w:val="32"/>
        </w:rPr>
        <w:t>一、</w:t>
      </w:r>
      <w:r>
        <w:rPr>
          <w:rFonts w:hint="eastAsia" w:ascii="黑体" w:hAnsi="宋体" w:eastAsia="黑体"/>
          <w:color w:val="auto"/>
          <w:sz w:val="32"/>
          <w:szCs w:val="32"/>
          <w:lang w:val="zh-CN"/>
        </w:rPr>
        <w:t>项目概况</w:t>
      </w:r>
    </w:p>
    <w:p>
      <w:pPr>
        <w:adjustRightInd w:val="0"/>
        <w:snapToGrid w:val="0"/>
        <w:spacing w:line="600" w:lineRule="exact"/>
        <w:ind w:firstLine="72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市级防汛抗旱储备物资是指为保障防汛抗旱应急抢险减灾救灾的需要</w:t>
      </w:r>
      <w:r>
        <w:rPr>
          <w:rFonts w:hint="eastAsia" w:ascii="仿宋_GB2312" w:eastAsia="仿宋_GB2312"/>
          <w:color w:val="auto"/>
          <w:sz w:val="32"/>
          <w:szCs w:val="32"/>
          <w:lang w:val="en-US" w:eastAsia="zh-CN"/>
        </w:rPr>
        <w:t>,由</w:t>
      </w:r>
      <w:r>
        <w:rPr>
          <w:rFonts w:hint="eastAsia" w:ascii="仿宋_GB2312" w:eastAsia="仿宋_GB2312"/>
          <w:color w:val="auto"/>
          <w:sz w:val="32"/>
          <w:szCs w:val="32"/>
        </w:rPr>
        <w:t>市级安排财政专项资金，攀枝花市防汛抗旱指挥部办公室负责购置、储备和管理，用于防汛抗旱应急抢险减灾救灾等应急需要的各类物资。</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防汛抗旱储备物资管理坚持“定额储备、专业管理、保障急需”的原则</w:t>
      </w:r>
      <w:r>
        <w:rPr>
          <w:rFonts w:hint="eastAsia" w:ascii="仿宋_GB2312" w:eastAsia="仿宋_GB2312"/>
          <w:color w:val="auto"/>
          <w:sz w:val="32"/>
          <w:szCs w:val="32"/>
          <w:lang w:eastAsia="zh-CN"/>
        </w:rPr>
        <w:t>，</w:t>
      </w:r>
      <w:r>
        <w:rPr>
          <w:rFonts w:hint="eastAsia" w:ascii="仿宋_GB2312" w:eastAsia="仿宋_GB2312"/>
          <w:color w:val="auto"/>
          <w:sz w:val="32"/>
          <w:szCs w:val="32"/>
        </w:rPr>
        <w:t>种类包括抢险物料、救生器材（含应急通讯、照明设备）、抢险机具等</w:t>
      </w:r>
      <w:r>
        <w:rPr>
          <w:rFonts w:hint="eastAsia" w:ascii="仿宋_GB2312" w:eastAsia="仿宋_GB2312"/>
          <w:color w:val="auto"/>
          <w:sz w:val="32"/>
          <w:szCs w:val="32"/>
          <w:lang w:eastAsia="zh-CN"/>
        </w:rPr>
        <w:t>，</w:t>
      </w:r>
      <w:r>
        <w:rPr>
          <w:rFonts w:hint="eastAsia" w:ascii="仿宋_GB2312" w:eastAsia="仿宋_GB2312"/>
          <w:color w:val="auto"/>
          <w:sz w:val="32"/>
          <w:szCs w:val="32"/>
        </w:rPr>
        <w:t>采取定点实物储备的方式储备</w:t>
      </w:r>
      <w:r>
        <w:rPr>
          <w:rFonts w:hint="eastAsia" w:ascii="仿宋_GB2312" w:eastAsia="仿宋_GB2312"/>
          <w:color w:val="auto"/>
          <w:sz w:val="32"/>
          <w:szCs w:val="32"/>
          <w:lang w:eastAsia="zh-CN"/>
        </w:rPr>
        <w:t>。</w:t>
      </w:r>
      <w:r>
        <w:rPr>
          <w:rFonts w:hint="eastAsia" w:ascii="仿宋_GB2312" w:eastAsia="仿宋_GB2312"/>
          <w:color w:val="auto"/>
          <w:sz w:val="32"/>
          <w:szCs w:val="32"/>
        </w:rPr>
        <w:t>经费包括物资购置经费和储备管理费，属于财政专项资金，须专款专用，严禁挪作他用。</w:t>
      </w:r>
      <w:r>
        <w:rPr>
          <w:rFonts w:hint="eastAsia" w:ascii="仿宋_GB2312" w:eastAsia="仿宋_GB2312"/>
          <w:color w:val="auto"/>
          <w:sz w:val="32"/>
          <w:szCs w:val="32"/>
          <w:lang w:eastAsia="zh-CN"/>
        </w:rPr>
        <w:t>编制预算时</w:t>
      </w:r>
      <w:r>
        <w:rPr>
          <w:rFonts w:hint="eastAsia" w:ascii="仿宋_GB2312" w:eastAsia="仿宋_GB2312"/>
          <w:color w:val="auto"/>
          <w:sz w:val="32"/>
          <w:szCs w:val="32"/>
        </w:rPr>
        <w:t>根据年度实际需求所需要购置防汛抗旱物资所需要的经费</w:t>
      </w:r>
      <w:r>
        <w:rPr>
          <w:rFonts w:hint="eastAsia" w:ascii="仿宋_GB2312" w:eastAsia="仿宋_GB2312"/>
          <w:color w:val="auto"/>
          <w:sz w:val="32"/>
          <w:szCs w:val="32"/>
          <w:lang w:eastAsia="zh-CN"/>
        </w:rPr>
        <w:t>，由</w:t>
      </w:r>
      <w:r>
        <w:rPr>
          <w:rFonts w:hint="eastAsia" w:ascii="仿宋_GB2312" w:eastAsia="仿宋_GB2312"/>
          <w:color w:val="auto"/>
          <w:sz w:val="32"/>
          <w:szCs w:val="32"/>
        </w:rPr>
        <w:t>市防汛抗旱指挥部办公室向市财政申报核定后专项经费安排，并由市防汛抗旱办公室完成物资购置工作。</w:t>
      </w:r>
    </w:p>
    <w:p>
      <w:pPr>
        <w:adjustRightInd w:val="0"/>
        <w:snapToGrid w:val="0"/>
        <w:spacing w:line="600" w:lineRule="exact"/>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　　（二）项目绩效目标。</w:t>
      </w:r>
    </w:p>
    <w:p>
      <w:pPr>
        <w:adjustRightInd w:val="0"/>
        <w:snapToGrid w:val="0"/>
        <w:spacing w:line="600" w:lineRule="exact"/>
        <w:ind w:firstLine="72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2019年防汛物资采购及物资仓储代管，为我市当年</w:t>
      </w:r>
      <w:r>
        <w:rPr>
          <w:rFonts w:hint="eastAsia" w:ascii="仿宋_GB2312" w:eastAsia="仿宋_GB2312"/>
          <w:color w:val="auto"/>
          <w:sz w:val="32"/>
          <w:szCs w:val="32"/>
        </w:rPr>
        <w:t>防汛抗旱应急抢险减灾救灾需要</w:t>
      </w:r>
      <w:r>
        <w:rPr>
          <w:rFonts w:hint="eastAsia" w:ascii="仿宋_GB2312" w:eastAsia="仿宋_GB2312"/>
          <w:color w:val="auto"/>
          <w:sz w:val="32"/>
          <w:szCs w:val="32"/>
          <w:lang w:eastAsia="zh-CN"/>
        </w:rPr>
        <w:t>提供</w:t>
      </w:r>
      <w:r>
        <w:rPr>
          <w:rFonts w:hint="eastAsia" w:ascii="仿宋_GB2312" w:eastAsia="仿宋_GB2312"/>
          <w:color w:val="auto"/>
          <w:sz w:val="32"/>
          <w:szCs w:val="32"/>
        </w:rPr>
        <w:t>保障</w:t>
      </w:r>
      <w:r>
        <w:rPr>
          <w:rFonts w:hint="eastAsia" w:ascii="仿宋_GB2312" w:eastAsia="仿宋_GB2312"/>
          <w:color w:val="auto"/>
          <w:sz w:val="32"/>
          <w:szCs w:val="32"/>
          <w:lang w:eastAsia="zh-CN"/>
        </w:rPr>
        <w:t>，提升我市抵御自然灾害能力</w:t>
      </w:r>
      <w:r>
        <w:rPr>
          <w:rFonts w:hint="eastAsia" w:ascii="仿宋_GB2312" w:hAnsi="宋体" w:eastAsia="仿宋_GB2312"/>
          <w:color w:val="auto"/>
          <w:sz w:val="32"/>
          <w:szCs w:val="32"/>
          <w:lang w:val="en-US" w:eastAsia="zh-CN"/>
        </w:rPr>
        <w:t>。</w:t>
      </w:r>
    </w:p>
    <w:p>
      <w:pPr>
        <w:adjustRightInd w:val="0"/>
        <w:snapToGrid w:val="0"/>
        <w:spacing w:line="600" w:lineRule="exact"/>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　　（三）项目自评步骤及方法。</w:t>
      </w:r>
    </w:p>
    <w:p>
      <w:pPr>
        <w:adjustRightInd w:val="0"/>
        <w:snapToGrid w:val="0"/>
        <w:spacing w:line="600" w:lineRule="exact"/>
        <w:ind w:firstLine="720"/>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项目预算批复后，按绩效目标从事前、事中、事后组织监督实施。</w:t>
      </w:r>
    </w:p>
    <w:p>
      <w:pPr>
        <w:adjustRightInd w:val="0"/>
        <w:snapToGrid w:val="0"/>
        <w:spacing w:line="600" w:lineRule="exact"/>
        <w:ind w:firstLine="720"/>
        <w:rPr>
          <w:rFonts w:ascii="黑体" w:hAnsi="宋体" w:eastAsia="黑体"/>
          <w:color w:val="auto"/>
          <w:sz w:val="32"/>
          <w:szCs w:val="32"/>
        </w:rPr>
      </w:pPr>
      <w:r>
        <w:rPr>
          <w:rFonts w:hint="eastAsia" w:ascii="黑体" w:hAnsi="宋体" w:eastAsia="黑体"/>
          <w:color w:val="auto"/>
          <w:sz w:val="32"/>
          <w:szCs w:val="32"/>
        </w:rPr>
        <w:t>二、项目资金申报及使用情况</w:t>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（一）项目资金申报及批复情况。</w:t>
      </w:r>
    </w:p>
    <w:p>
      <w:pPr>
        <w:adjustRightInd w:val="0"/>
        <w:snapToGrid w:val="0"/>
        <w:spacing w:line="600" w:lineRule="exact"/>
        <w:ind w:firstLine="72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在去年年底由</w:t>
      </w:r>
      <w:r>
        <w:rPr>
          <w:rFonts w:hint="eastAsia" w:ascii="仿宋_GB2312" w:eastAsia="仿宋_GB2312"/>
          <w:color w:val="auto"/>
          <w:sz w:val="32"/>
          <w:szCs w:val="32"/>
        </w:rPr>
        <w:t>市防汛抗旱指挥部办公室</w:t>
      </w:r>
      <w:r>
        <w:rPr>
          <w:rFonts w:hint="eastAsia" w:ascii="仿宋_GB2312" w:eastAsia="仿宋_GB2312"/>
          <w:color w:val="auto"/>
          <w:sz w:val="32"/>
          <w:szCs w:val="32"/>
          <w:lang w:eastAsia="zh-CN"/>
        </w:rPr>
        <w:t>将物资储备计划及资金需要进行预算</w:t>
      </w:r>
      <w:r>
        <w:rPr>
          <w:rFonts w:hint="eastAsia" w:ascii="仿宋_GB2312" w:hAnsi="宋体" w:eastAsia="仿宋_GB2312"/>
          <w:color w:val="auto"/>
          <w:sz w:val="32"/>
          <w:szCs w:val="32"/>
          <w:lang w:val="zh-CN"/>
        </w:rPr>
        <w:t>申报，列入下一年部门预算中。次年财政批复下达资金。</w:t>
      </w:r>
    </w:p>
    <w:p>
      <w:pPr>
        <w:adjustRightInd w:val="0"/>
        <w:snapToGrid w:val="0"/>
        <w:spacing w:line="600" w:lineRule="exact"/>
        <w:ind w:firstLine="720"/>
        <w:rPr>
          <w:rFonts w:ascii="仿宋_GB2312" w:hAnsi="宋体" w:eastAsia="仿宋_GB2312"/>
          <w:color w:val="auto"/>
          <w:sz w:val="32"/>
          <w:szCs w:val="32"/>
          <w:lang w:val="zh-CN"/>
        </w:rPr>
      </w:pPr>
      <w:r>
        <w:rPr>
          <w:rFonts w:hint="eastAsia" w:ascii="楷体_GB2312" w:hAnsi="宋体" w:eastAsia="楷体_GB2312"/>
          <w:b/>
          <w:color w:val="auto"/>
          <w:sz w:val="32"/>
          <w:szCs w:val="32"/>
          <w:lang w:val="zh-CN"/>
        </w:rPr>
        <w:t>（二）资金计划、到位及使用情况。</w:t>
      </w:r>
    </w:p>
    <w:p>
      <w:pPr>
        <w:adjustRightInd w:val="0"/>
        <w:snapToGrid w:val="0"/>
        <w:spacing w:line="600" w:lineRule="exact"/>
        <w:ind w:firstLine="720"/>
        <w:rPr>
          <w:rFonts w:ascii="仿宋_GB2312" w:hAnsi="宋体" w:eastAsia="仿宋_GB2312"/>
          <w:color w:val="auto"/>
          <w:sz w:val="32"/>
          <w:szCs w:val="32"/>
          <w:lang w:val="zh-CN"/>
        </w:rPr>
      </w:pPr>
      <w:r>
        <w:rPr>
          <w:rFonts w:hint="eastAsia" w:ascii="楷体_GB2312" w:hAnsi="宋体" w:eastAsia="楷体_GB2312"/>
          <w:color w:val="auto"/>
          <w:sz w:val="32"/>
          <w:szCs w:val="32"/>
          <w:lang w:val="zh-CN"/>
        </w:rPr>
        <w:t>1．资金计划。</w:t>
      </w:r>
      <w:r>
        <w:rPr>
          <w:rFonts w:hint="eastAsia" w:ascii="仿宋_GB2312" w:hAnsi="宋体" w:eastAsia="仿宋_GB2312"/>
          <w:color w:val="auto"/>
          <w:sz w:val="32"/>
          <w:szCs w:val="32"/>
          <w:lang w:val="zh-CN"/>
        </w:rPr>
        <w:t>项目全部资金</w:t>
      </w:r>
      <w:r>
        <w:rPr>
          <w:rFonts w:hint="eastAsia" w:ascii="仿宋_GB2312" w:hAnsi="宋体" w:eastAsia="仿宋_GB2312"/>
          <w:color w:val="auto"/>
          <w:sz w:val="32"/>
          <w:szCs w:val="32"/>
          <w:lang w:val="en-US" w:eastAsia="zh-CN"/>
        </w:rPr>
        <w:t>50万元，</w:t>
      </w:r>
      <w:r>
        <w:rPr>
          <w:rFonts w:hint="eastAsia" w:ascii="仿宋_GB2312" w:hAnsi="宋体" w:eastAsia="仿宋_GB2312"/>
          <w:color w:val="auto"/>
          <w:sz w:val="32"/>
          <w:szCs w:val="32"/>
          <w:lang w:val="zh-CN"/>
        </w:rPr>
        <w:t>来源为市级财政拨款，用于</w:t>
      </w:r>
      <w:r>
        <w:rPr>
          <w:rFonts w:hint="eastAsia" w:ascii="仿宋_GB2312" w:hAnsi="宋体" w:eastAsia="仿宋_GB2312"/>
          <w:color w:val="auto"/>
          <w:sz w:val="32"/>
          <w:szCs w:val="32"/>
          <w:lang w:val="en-US" w:eastAsia="zh-CN"/>
        </w:rPr>
        <w:t>2019年实物物资、协议设备和物资、抢险油料及现金保障资金20万元，储存防汛物资仓储管理30万元</w:t>
      </w:r>
      <w:r>
        <w:rPr>
          <w:rFonts w:hint="eastAsia" w:ascii="仿宋_GB2312" w:hAnsi="宋体" w:eastAsia="仿宋_GB2312"/>
          <w:color w:val="auto"/>
          <w:sz w:val="32"/>
          <w:szCs w:val="32"/>
          <w:lang w:val="zh-CN"/>
        </w:rPr>
        <w:t>。</w:t>
      </w:r>
    </w:p>
    <w:p>
      <w:pPr>
        <w:adjustRightInd w:val="0"/>
        <w:snapToGrid w:val="0"/>
        <w:spacing w:line="600" w:lineRule="exact"/>
        <w:ind w:firstLine="720"/>
        <w:rPr>
          <w:rFonts w:ascii="仿宋_GB2312" w:hAnsi="宋体" w:eastAsia="仿宋_GB2312"/>
          <w:color w:val="auto"/>
          <w:sz w:val="32"/>
          <w:szCs w:val="32"/>
          <w:lang w:val="zh-CN"/>
        </w:rPr>
      </w:pPr>
      <w:r>
        <w:rPr>
          <w:rFonts w:hint="eastAsia" w:ascii="楷体_GB2312" w:hAnsi="宋体" w:eastAsia="楷体_GB2312"/>
          <w:color w:val="auto"/>
          <w:sz w:val="32"/>
          <w:szCs w:val="32"/>
          <w:lang w:val="zh-CN"/>
        </w:rPr>
        <w:t>2．资金到位。</w:t>
      </w:r>
      <w:r>
        <w:rPr>
          <w:rFonts w:hint="eastAsia" w:ascii="仿宋_GB2312" w:hAnsi="宋体" w:eastAsia="仿宋_GB2312"/>
          <w:color w:val="auto"/>
          <w:sz w:val="32"/>
          <w:szCs w:val="32"/>
          <w:lang w:val="zh-CN"/>
        </w:rPr>
        <w:t>资金到位率</w:t>
      </w:r>
      <w:r>
        <w:rPr>
          <w:rFonts w:hint="eastAsia" w:ascii="仿宋_GB2312" w:hAnsi="宋体" w:eastAsia="仿宋_GB2312"/>
          <w:color w:val="auto"/>
          <w:sz w:val="32"/>
          <w:szCs w:val="32"/>
          <w:lang w:val="en-US" w:eastAsia="zh-CN"/>
        </w:rPr>
        <w:t>100%</w:t>
      </w:r>
      <w:r>
        <w:rPr>
          <w:rFonts w:hint="eastAsia" w:ascii="仿宋_GB2312" w:hAnsi="宋体" w:eastAsia="仿宋_GB2312"/>
          <w:color w:val="auto"/>
          <w:sz w:val="32"/>
          <w:szCs w:val="32"/>
          <w:lang w:val="zh-CN"/>
        </w:rPr>
        <w:t>、到位及时。</w:t>
      </w:r>
    </w:p>
    <w:p>
      <w:pPr>
        <w:adjustRightInd w:val="0"/>
        <w:snapToGrid w:val="0"/>
        <w:spacing w:line="600" w:lineRule="exact"/>
        <w:ind w:firstLine="720"/>
        <w:rPr>
          <w:rFonts w:hint="eastAsia" w:ascii="楷体_GB2312" w:hAnsi="宋体" w:eastAsia="楷体_GB2312"/>
          <w:color w:val="auto"/>
          <w:sz w:val="32"/>
          <w:szCs w:val="32"/>
          <w:lang w:val="zh-CN"/>
        </w:rPr>
      </w:pPr>
      <w:r>
        <w:rPr>
          <w:rFonts w:hint="eastAsia" w:ascii="楷体_GB2312" w:hAnsi="宋体" w:eastAsia="楷体_GB2312"/>
          <w:color w:val="auto"/>
          <w:sz w:val="32"/>
          <w:szCs w:val="32"/>
          <w:lang w:val="zh-CN"/>
        </w:rPr>
        <w:t>3．资金使用。按预算批复执行，资金使用规范。</w:t>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（三）项目财务管理情况。</w:t>
      </w:r>
    </w:p>
    <w:p>
      <w:pPr>
        <w:adjustRightInd w:val="0"/>
        <w:snapToGrid w:val="0"/>
        <w:spacing w:line="600" w:lineRule="exact"/>
        <w:ind w:firstLine="720"/>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项目实施中财务管理制度健全，严格执行财务管理制度，账务处理及时，会计核算规范。</w:t>
      </w:r>
    </w:p>
    <w:p>
      <w:pPr>
        <w:adjustRightInd w:val="0"/>
        <w:snapToGrid w:val="0"/>
        <w:spacing w:line="600" w:lineRule="exact"/>
        <w:ind w:firstLine="720"/>
        <w:rPr>
          <w:rFonts w:ascii="黑体" w:hAnsi="宋体" w:eastAsia="黑体"/>
          <w:color w:val="auto"/>
          <w:sz w:val="32"/>
          <w:szCs w:val="32"/>
        </w:rPr>
      </w:pPr>
      <w:r>
        <w:rPr>
          <w:rFonts w:hint="eastAsia" w:ascii="黑体" w:hAnsi="宋体" w:eastAsia="黑体"/>
          <w:color w:val="auto"/>
          <w:sz w:val="32"/>
          <w:szCs w:val="32"/>
        </w:rPr>
        <w:t>三、项目实施及管理情况</w:t>
      </w:r>
    </w:p>
    <w:p>
      <w:pPr>
        <w:adjustRightInd w:val="0"/>
        <w:snapToGrid w:val="0"/>
        <w:spacing w:line="600" w:lineRule="exact"/>
        <w:ind w:firstLine="72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（一）项目组织架构及实施流程。</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市防汛抗旱指挥部办公室对市级防汛抗旱储备物资的管理职责</w:t>
      </w:r>
      <w:r>
        <w:rPr>
          <w:rFonts w:hint="eastAsia" w:ascii="仿宋_GB2312" w:eastAsia="仿宋_GB2312"/>
          <w:color w:val="auto"/>
          <w:sz w:val="32"/>
          <w:szCs w:val="32"/>
          <w:lang w:eastAsia="zh-CN"/>
        </w:rPr>
        <w:t>：</w:t>
      </w:r>
      <w:r>
        <w:rPr>
          <w:rFonts w:hint="eastAsia" w:ascii="仿宋_GB2312" w:eastAsia="仿宋_GB2312"/>
          <w:color w:val="auto"/>
          <w:sz w:val="32"/>
          <w:szCs w:val="32"/>
        </w:rPr>
        <w:t>1、制定各项防汛抗旱储备物资的具体管理制度，对委托单位和仓库进行指导，监督各项管理制度的贯彻执行;2、定期检查防汛抗旱储备物资仓库的保管维护情况;3、负责防汛抗旱储备物资的会计核算工作。对防汛抗旱储备物资,应单独核算，专人管理。要及时做好防汛抗旱储备物资入库、调拨、报废等各方面的会计核算工作，确保防汛抗旱储备物资管理的会计记录真实、完整、及时、有效；4、负责防汛抗旱储备物资的调用管理；5、负责防汛抗旱储备物资的补充；6、负责防汛抗旱储备物资的储存、调用、补充情况和物资更新计划及经费使用情况</w:t>
      </w:r>
      <w:r>
        <w:rPr>
          <w:rFonts w:hint="eastAsia" w:ascii="仿宋_GB2312" w:eastAsia="仿宋_GB2312"/>
          <w:color w:val="auto"/>
          <w:sz w:val="32"/>
          <w:szCs w:val="32"/>
          <w:lang w:eastAsia="zh-CN"/>
        </w:rPr>
        <w:t>。</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市级防汛抗旱储备物资仓库的管理职责</w:t>
      </w:r>
      <w:r>
        <w:rPr>
          <w:rFonts w:hint="eastAsia" w:ascii="仿宋_GB2312" w:eastAsia="仿宋_GB2312"/>
          <w:color w:val="auto"/>
          <w:sz w:val="32"/>
          <w:szCs w:val="32"/>
          <w:lang w:eastAsia="zh-CN"/>
        </w:rPr>
        <w:t>：</w:t>
      </w:r>
      <w:r>
        <w:rPr>
          <w:rFonts w:hint="eastAsia" w:ascii="仿宋_GB2312" w:eastAsia="仿宋_GB2312"/>
          <w:color w:val="auto"/>
          <w:sz w:val="32"/>
          <w:szCs w:val="32"/>
        </w:rPr>
        <w:t>1、在市防汛抗旱办公室的指导下，做好防汛抗旱储备物资的日常管理工作。定期向市防汛抗旱办公室报送防汛抗旱储备物资的管理情况；2、严格执行市防汛抗旱办公室的调度指令，协助市级防汛抗旱储备物资的紧急调运工作;3、加强仓库现代化建设,不断提高物资管理水平；4、参加物资入库验收，负责清点、检查防汛物资的接收入库；对防汛物资实行单独会计核算，专人专帐管理，建立物资帐目和物资管理档案。5、每年的汛前、年底，协助市防汛抗旱办公室对防汛抗旱储备物资进行盘点。</w:t>
      </w:r>
    </w:p>
    <w:p>
      <w:pPr>
        <w:ind w:firstLine="640" w:firstLineChars="200"/>
        <w:rPr>
          <w:rFonts w:hint="eastAsia" w:ascii="仿宋_GB2312" w:eastAsia="仿宋_GB2312"/>
          <w:color w:val="auto"/>
          <w:sz w:val="32"/>
          <w:szCs w:val="32"/>
          <w:lang w:val="zh-CN" w:eastAsia="zh-CN"/>
        </w:rPr>
      </w:pPr>
      <w:r>
        <w:rPr>
          <w:rFonts w:hint="eastAsia" w:ascii="仿宋_GB2312" w:eastAsia="仿宋_GB2312"/>
          <w:color w:val="auto"/>
          <w:sz w:val="32"/>
          <w:szCs w:val="32"/>
        </w:rPr>
        <w:t>防汛抗旱储备物资调拨由调入单位办理人员持防汛物资调拨单、办理人员的身份证明到指定防汛抗旱储备物资仓库办理出库手续并提取物资；紧急调用，可先电话报批，后补调拨手续。</w:t>
      </w:r>
    </w:p>
    <w:p>
      <w:pPr>
        <w:numPr>
          <w:ilvl w:val="0"/>
          <w:numId w:val="7"/>
        </w:numPr>
        <w:ind w:firstLine="643" w:firstLineChars="20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项目管理情况。</w:t>
      </w:r>
    </w:p>
    <w:p>
      <w:pPr>
        <w:numPr>
          <w:ilvl w:val="0"/>
          <w:numId w:val="0"/>
        </w:numPr>
        <w:rPr>
          <w:rFonts w:ascii="仿宋_GB2312" w:hAnsi="宋体" w:eastAsia="仿宋_GB2312"/>
          <w:color w:val="auto"/>
          <w:sz w:val="32"/>
          <w:szCs w:val="32"/>
          <w:lang w:val="zh-CN"/>
        </w:rPr>
      </w:pPr>
      <w:r>
        <w:rPr>
          <w:rFonts w:hint="eastAsia" w:ascii="仿宋_GB2312" w:eastAsia="仿宋_GB2312"/>
          <w:color w:val="auto"/>
          <w:sz w:val="32"/>
          <w:szCs w:val="32"/>
          <w:lang w:eastAsia="zh-CN"/>
        </w:rPr>
        <w:t>　　</w:t>
      </w:r>
      <w:r>
        <w:rPr>
          <w:rFonts w:hint="eastAsia" w:ascii="仿宋_GB2312" w:eastAsia="仿宋_GB2312"/>
          <w:color w:val="auto"/>
          <w:sz w:val="32"/>
          <w:szCs w:val="32"/>
        </w:rPr>
        <w:t>市级防汛抗旱储备物资采取政府采购的方式进行购置。按照采购相关参数进行验收。</w:t>
      </w:r>
    </w:p>
    <w:p>
      <w:pPr>
        <w:adjustRightInd w:val="0"/>
        <w:snapToGrid w:val="0"/>
        <w:spacing w:line="600" w:lineRule="exact"/>
        <w:ind w:firstLine="720"/>
        <w:rPr>
          <w:rFonts w:ascii="仿宋_GB2312" w:hAnsi="宋体" w:eastAsia="仿宋_GB2312"/>
          <w:color w:val="auto"/>
          <w:sz w:val="32"/>
          <w:szCs w:val="32"/>
          <w:lang w:val="zh-CN"/>
        </w:rPr>
      </w:pPr>
      <w:r>
        <w:rPr>
          <w:rFonts w:hint="eastAsia" w:ascii="楷体_GB2312" w:hAnsi="宋体" w:eastAsia="楷体_GB2312"/>
          <w:b/>
          <w:color w:val="auto"/>
          <w:sz w:val="32"/>
          <w:szCs w:val="32"/>
          <w:lang w:val="zh-CN"/>
        </w:rPr>
        <w:t>（三）项目监管情况。</w:t>
      </w:r>
      <w:r>
        <w:rPr>
          <w:rFonts w:hint="eastAsia" w:ascii="仿宋_GB2312" w:hAnsi="宋体" w:eastAsia="仿宋_GB2312"/>
          <w:color w:val="auto"/>
          <w:sz w:val="32"/>
          <w:szCs w:val="32"/>
          <w:lang w:val="zh-CN"/>
        </w:rPr>
        <w:t>主管部门为加强项目管理，从事前、事中、事后、采购程序及资金支付上进行监管。</w:t>
      </w:r>
    </w:p>
    <w:p>
      <w:pPr>
        <w:adjustRightInd w:val="0"/>
        <w:snapToGrid w:val="0"/>
        <w:spacing w:line="600" w:lineRule="exact"/>
        <w:ind w:firstLine="720"/>
        <w:rPr>
          <w:rFonts w:ascii="仿宋_GB2312" w:hAnsi="宋体" w:eastAsia="仿宋_GB2312"/>
          <w:color w:val="auto"/>
          <w:sz w:val="32"/>
          <w:szCs w:val="32"/>
          <w:lang w:val="zh-CN"/>
        </w:rPr>
      </w:pPr>
      <w:r>
        <w:rPr>
          <w:rFonts w:hint="eastAsia" w:ascii="黑体" w:hAnsi="宋体" w:eastAsia="黑体"/>
          <w:color w:val="auto"/>
          <w:sz w:val="32"/>
          <w:szCs w:val="32"/>
        </w:rPr>
        <w:t>四、项目绩效情况</w:t>
      </w:r>
      <w:r>
        <w:rPr>
          <w:rFonts w:hint="eastAsia" w:ascii="仿宋_GB2312" w:hAnsi="宋体" w:eastAsia="仿宋_GB2312"/>
          <w:color w:val="auto"/>
          <w:sz w:val="32"/>
          <w:szCs w:val="32"/>
          <w:lang w:val="zh-CN"/>
        </w:rPr>
        <w:tab/>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（一）项目完成情况。</w:t>
      </w:r>
    </w:p>
    <w:p>
      <w:pPr>
        <w:adjustRightInd w:val="0"/>
        <w:snapToGrid w:val="0"/>
        <w:spacing w:line="600" w:lineRule="exact"/>
        <w:ind w:firstLine="720"/>
        <w:rPr>
          <w:rFonts w:hint="eastAsia" w:ascii="仿宋_GB2312" w:hAnsi="宋体" w:eastAsia="仿宋_GB2312"/>
          <w:color w:val="auto"/>
          <w:sz w:val="32"/>
          <w:szCs w:val="32"/>
          <w:lang w:val="zh-CN" w:eastAsia="zh-CN"/>
        </w:rPr>
      </w:pPr>
      <w:r>
        <w:rPr>
          <w:rFonts w:hint="eastAsia" w:ascii="仿宋_GB2312" w:hAnsi="宋体" w:eastAsia="仿宋_GB2312"/>
          <w:color w:val="auto"/>
          <w:sz w:val="32"/>
          <w:szCs w:val="32"/>
          <w:lang w:val="zh-CN"/>
        </w:rPr>
        <w:t>按年初部门预算批复，完成防汛储备物资购入，</w:t>
      </w:r>
      <w:r>
        <w:rPr>
          <w:rFonts w:hint="eastAsia" w:ascii="仿宋_GB2312" w:eastAsia="仿宋_GB2312"/>
          <w:color w:val="auto"/>
          <w:sz w:val="32"/>
          <w:szCs w:val="32"/>
        </w:rPr>
        <w:t>由市防汛抗旱办公室租赁清泉公司仓库并委托其对市防汛抗旱储备物资进行管</w:t>
      </w:r>
      <w:r>
        <w:rPr>
          <w:rFonts w:hint="eastAsia" w:ascii="仿宋_GB2312" w:eastAsia="仿宋_GB2312"/>
          <w:color w:val="auto"/>
          <w:sz w:val="32"/>
          <w:szCs w:val="32"/>
          <w:lang w:eastAsia="zh-CN"/>
        </w:rPr>
        <w:t>理。</w:t>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（二）项目效益情况。</w:t>
      </w:r>
    </w:p>
    <w:p>
      <w:pPr>
        <w:adjustRightInd w:val="0"/>
        <w:snapToGrid w:val="0"/>
        <w:spacing w:line="600" w:lineRule="exact"/>
        <w:ind w:firstLine="72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为2019年防汛抢险提供实物物资、协议设备和物资、抢险油料保障，</w:t>
      </w:r>
      <w:r>
        <w:rPr>
          <w:rFonts w:hint="eastAsia" w:ascii="仿宋_GB2312" w:eastAsia="仿宋_GB2312"/>
          <w:color w:val="auto"/>
          <w:sz w:val="32"/>
          <w:szCs w:val="32"/>
          <w:lang w:eastAsia="zh-CN"/>
        </w:rPr>
        <w:t>提升我市抵御自然灾害能力</w:t>
      </w:r>
      <w:r>
        <w:rPr>
          <w:rFonts w:hint="eastAsia" w:ascii="仿宋_GB2312" w:hAnsi="宋体" w:eastAsia="仿宋_GB2312"/>
          <w:color w:val="auto"/>
          <w:sz w:val="32"/>
          <w:szCs w:val="32"/>
          <w:lang w:val="en-US" w:eastAsia="zh-CN"/>
        </w:rPr>
        <w:t>。</w:t>
      </w:r>
    </w:p>
    <w:p>
      <w:pPr>
        <w:adjustRightInd w:val="0"/>
        <w:snapToGrid w:val="0"/>
        <w:spacing w:line="600" w:lineRule="exact"/>
        <w:ind w:firstLine="720"/>
        <w:rPr>
          <w:rFonts w:ascii="黑体" w:hAnsi="宋体" w:eastAsia="黑体"/>
          <w:color w:val="auto"/>
          <w:sz w:val="32"/>
          <w:szCs w:val="32"/>
        </w:rPr>
      </w:pPr>
      <w:r>
        <w:rPr>
          <w:rFonts w:hint="eastAsia" w:ascii="黑体" w:hAnsi="宋体" w:eastAsia="黑体"/>
          <w:color w:val="auto"/>
          <w:sz w:val="32"/>
          <w:szCs w:val="32"/>
        </w:rPr>
        <w:t>五、评价结论及建议</w:t>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（一）评价结论。</w:t>
      </w:r>
    </w:p>
    <w:p>
      <w:pPr>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lang w:val="zh-CN"/>
        </w:rPr>
        <w:t>严格按照预算执行，经费上</w:t>
      </w:r>
      <w:r>
        <w:rPr>
          <w:rFonts w:hint="eastAsia" w:ascii="仿宋_GB2312" w:eastAsia="仿宋_GB2312"/>
          <w:color w:val="auto"/>
          <w:sz w:val="32"/>
          <w:szCs w:val="32"/>
        </w:rPr>
        <w:t>专款专用，</w:t>
      </w:r>
      <w:r>
        <w:rPr>
          <w:rFonts w:hint="eastAsia" w:ascii="仿宋_GB2312" w:eastAsia="仿宋_GB2312"/>
          <w:color w:val="auto"/>
          <w:sz w:val="32"/>
          <w:szCs w:val="32"/>
          <w:lang w:eastAsia="zh-CN"/>
        </w:rPr>
        <w:t>未</w:t>
      </w:r>
      <w:r>
        <w:rPr>
          <w:rFonts w:hint="eastAsia" w:ascii="仿宋_GB2312" w:eastAsia="仿宋_GB2312"/>
          <w:color w:val="auto"/>
          <w:sz w:val="32"/>
          <w:szCs w:val="32"/>
        </w:rPr>
        <w:t>挪作他用</w:t>
      </w:r>
      <w:r>
        <w:rPr>
          <w:rFonts w:hint="eastAsia" w:ascii="仿宋_GB2312" w:eastAsia="仿宋_GB2312"/>
          <w:color w:val="auto"/>
          <w:sz w:val="32"/>
          <w:szCs w:val="32"/>
          <w:lang w:eastAsia="zh-CN"/>
        </w:rPr>
        <w:t>，实物方面</w:t>
      </w:r>
      <w:r>
        <w:rPr>
          <w:rFonts w:hint="eastAsia" w:ascii="仿宋_GB2312" w:eastAsia="仿宋_GB2312"/>
          <w:color w:val="auto"/>
          <w:sz w:val="32"/>
          <w:szCs w:val="32"/>
        </w:rPr>
        <w:t>专物专用</w:t>
      </w:r>
      <w:r>
        <w:rPr>
          <w:rFonts w:hint="eastAsia" w:ascii="仿宋_GB2312" w:eastAsia="仿宋_GB2312"/>
          <w:color w:val="auto"/>
          <w:sz w:val="32"/>
          <w:szCs w:val="32"/>
          <w:lang w:eastAsia="zh-CN"/>
        </w:rPr>
        <w:t>，物资采购、入库、调拨等程序规范，提升了我市抵御自然灾害能力</w:t>
      </w:r>
      <w:r>
        <w:rPr>
          <w:rFonts w:hint="eastAsia" w:ascii="仿宋_GB2312" w:eastAsia="仿宋_GB2312"/>
          <w:color w:val="auto"/>
          <w:sz w:val="32"/>
          <w:szCs w:val="32"/>
        </w:rPr>
        <w:t>。</w:t>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（二）存在的问题。</w:t>
      </w:r>
    </w:p>
    <w:p>
      <w:pPr>
        <w:adjustRightInd w:val="0"/>
        <w:snapToGrid w:val="0"/>
        <w:spacing w:line="600" w:lineRule="exact"/>
        <w:ind w:firstLine="640" w:firstLineChars="200"/>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易损、易碎物品、体积大等物资保管较难。</w:t>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（三）相关建议。</w:t>
      </w:r>
    </w:p>
    <w:p>
      <w:pPr>
        <w:spacing w:line="580"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加强管理，定期进行盘点清查，做好各种台账记录，确保账实相符。</w:t>
      </w:r>
    </w:p>
    <w:p>
      <w:pPr>
        <w:spacing w:line="580" w:lineRule="exact"/>
        <w:ind w:firstLine="640"/>
        <w:rPr>
          <w:rFonts w:ascii="仿宋_GB2312" w:hAnsi="仿宋_GB2312" w:eastAsia="仿宋_GB2312" w:cs="仿宋_GB2312"/>
          <w:color w:val="auto"/>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67" w:name="_Toc15396618"/>
      <w:r>
        <w:rPr>
          <w:rFonts w:hint="eastAsia" w:ascii="黑体" w:hAnsi="黑体" w:eastAsia="黑体"/>
          <w:color w:val="000000"/>
          <w:sz w:val="44"/>
          <w:szCs w:val="44"/>
        </w:rPr>
        <w:t>第</w:t>
      </w:r>
      <w:r>
        <w:rPr>
          <w:rStyle w:val="25"/>
          <w:rFonts w:hint="eastAsia" w:ascii="黑体" w:hAnsi="黑体" w:eastAsia="黑体"/>
          <w:b w:val="0"/>
        </w:rPr>
        <w:t>五部分附表</w:t>
      </w:r>
      <w:bookmarkEnd w:id="66"/>
      <w:bookmarkEnd w:id="6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8"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8"/>
    </w:p>
    <w:p>
      <w:pPr>
        <w:pStyle w:val="3"/>
        <w:rPr>
          <w:rFonts w:ascii="仿宋" w:hAnsi="仿宋" w:eastAsia="仿宋"/>
          <w:color w:val="000000"/>
        </w:rPr>
      </w:pPr>
      <w:bookmarkStart w:id="69"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9"/>
    </w:p>
    <w:p>
      <w:pPr>
        <w:pStyle w:val="3"/>
        <w:rPr>
          <w:rFonts w:ascii="仿宋" w:hAnsi="仿宋" w:eastAsia="仿宋"/>
          <w:color w:val="000000"/>
        </w:rPr>
      </w:pPr>
      <w:bookmarkStart w:id="70"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70"/>
    </w:p>
    <w:p>
      <w:pPr>
        <w:pStyle w:val="3"/>
        <w:rPr>
          <w:rFonts w:ascii="仿宋" w:hAnsi="仿宋" w:eastAsia="仿宋"/>
          <w:b w:val="0"/>
          <w:color w:val="000000"/>
        </w:rPr>
      </w:pPr>
      <w:bookmarkStart w:id="71"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71"/>
    </w:p>
    <w:p>
      <w:pPr>
        <w:pStyle w:val="3"/>
        <w:rPr>
          <w:rStyle w:val="26"/>
          <w:rFonts w:ascii="仿宋" w:hAnsi="仿宋" w:eastAsia="仿宋"/>
          <w:b w:val="0"/>
          <w:bCs w:val="0"/>
        </w:rPr>
      </w:pPr>
      <w:bookmarkStart w:id="72"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72"/>
      <w:bookmarkStart w:id="73"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73"/>
    </w:p>
    <w:p>
      <w:pPr>
        <w:pStyle w:val="3"/>
        <w:rPr>
          <w:rFonts w:ascii="仿宋" w:hAnsi="仿宋" w:eastAsia="仿宋"/>
          <w:color w:val="000000"/>
        </w:rPr>
      </w:pPr>
      <w:bookmarkStart w:id="74"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74"/>
    </w:p>
    <w:p>
      <w:pPr>
        <w:pStyle w:val="3"/>
        <w:rPr>
          <w:rFonts w:ascii="仿宋" w:hAnsi="仿宋" w:eastAsia="仿宋"/>
          <w:color w:val="000000"/>
        </w:rPr>
      </w:pPr>
      <w:bookmarkStart w:id="75"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5"/>
    </w:p>
    <w:p>
      <w:pPr>
        <w:pStyle w:val="3"/>
        <w:rPr>
          <w:rFonts w:ascii="仿宋" w:hAnsi="仿宋" w:eastAsia="仿宋"/>
          <w:color w:val="000000"/>
        </w:rPr>
      </w:pPr>
      <w:bookmarkStart w:id="76"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6"/>
    </w:p>
    <w:p>
      <w:pPr>
        <w:pStyle w:val="3"/>
        <w:rPr>
          <w:rFonts w:ascii="仿宋" w:hAnsi="仿宋" w:eastAsia="仿宋"/>
          <w:color w:val="000000"/>
        </w:rPr>
      </w:pPr>
      <w:bookmarkStart w:id="77"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7"/>
    </w:p>
    <w:p>
      <w:pPr>
        <w:pStyle w:val="3"/>
        <w:rPr>
          <w:rFonts w:ascii="仿宋" w:hAnsi="仿宋" w:eastAsia="仿宋"/>
          <w:color w:val="000000"/>
        </w:rPr>
      </w:pPr>
      <w:bookmarkStart w:id="78"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8"/>
    </w:p>
    <w:p>
      <w:pPr>
        <w:pStyle w:val="3"/>
        <w:ind w:left="838" w:leftChars="0" w:hanging="838" w:hangingChars="262"/>
        <w:rPr>
          <w:rFonts w:ascii="仿宋" w:hAnsi="仿宋" w:eastAsia="仿宋"/>
          <w:color w:val="000000"/>
        </w:rPr>
      </w:pPr>
      <w:bookmarkStart w:id="79"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9"/>
      <w:r>
        <w:rPr>
          <w:rStyle w:val="26"/>
          <w:rFonts w:hint="eastAsia" w:ascii="仿宋" w:hAnsi="仿宋" w:eastAsia="仿宋"/>
          <w:b w:val="0"/>
          <w:bCs w:val="0"/>
          <w:lang w:eastAsia="zh-CN"/>
        </w:rPr>
        <w:t>（此表无数据）</w:t>
      </w:r>
    </w:p>
    <w:p>
      <w:pPr>
        <w:pStyle w:val="3"/>
        <w:rPr>
          <w:rFonts w:hint="eastAsia" w:ascii="仿宋" w:hAnsi="仿宋" w:eastAsia="仿宋"/>
          <w:color w:val="000000" w:themeColor="text1"/>
          <w:lang w:eastAsia="zh-CN"/>
          <w14:textFill>
            <w14:solidFill>
              <w14:schemeClr w14:val="tx1"/>
            </w14:solidFill>
          </w14:textFill>
        </w:rPr>
      </w:pPr>
      <w:bookmarkStart w:id="80"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80"/>
      <w:r>
        <w:rPr>
          <w:rStyle w:val="26"/>
          <w:rFonts w:hint="eastAsia" w:ascii="仿宋" w:hAnsi="仿宋" w:eastAsia="仿宋"/>
          <w:b w:val="0"/>
          <w:bCs w:val="0"/>
          <w:lang w:eastAsia="zh-CN"/>
        </w:rPr>
        <w:t>（此表无数据）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howcard Gothic">
    <w:panose1 w:val="04020904020102020604"/>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Tahoma">
    <w:panose1 w:val="020B0604030504040204"/>
    <w:charset w:val="00"/>
    <w:family w:val="auto"/>
    <w:pitch w:val="default"/>
    <w:sig w:usb0="61007A87" w:usb1="80000000" w:usb2="00000008" w:usb3="00000000" w:csb0="200101FF" w:csb1="20280000"/>
  </w:font>
  <w:font w:name="Trebuchet MS">
    <w:panose1 w:val="020B0603020202020204"/>
    <w:charset w:val="00"/>
    <w:family w:val="auto"/>
    <w:pitch w:val="default"/>
    <w:sig w:usb0="00000287" w:usb1="00000000" w:usb2="00000000" w:usb3="00000000" w:csb0="2000009F" w:csb1="00000000"/>
  </w:font>
  <w:font w:name="Tw Cen MT">
    <w:panose1 w:val="020B06020201040206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F851B"/>
    <w:multiLevelType w:val="singleLevel"/>
    <w:tmpl w:val="BAAF851B"/>
    <w:lvl w:ilvl="0" w:tentative="0">
      <w:start w:val="2"/>
      <w:numFmt w:val="chineseCounting"/>
      <w:suff w:val="nothing"/>
      <w:lvlText w:val="（%1）"/>
      <w:lvlJc w:val="left"/>
      <w:rPr>
        <w:rFonts w:hint="eastAsia"/>
      </w:rPr>
    </w:lvl>
  </w:abstractNum>
  <w:abstractNum w:abstractNumId="1">
    <w:nsid w:val="C2771B8F"/>
    <w:multiLevelType w:val="singleLevel"/>
    <w:tmpl w:val="C2771B8F"/>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6DA9B85"/>
    <w:multiLevelType w:val="singleLevel"/>
    <w:tmpl w:val="36DA9B85"/>
    <w:lvl w:ilvl="0" w:tentative="0">
      <w:start w:val="2"/>
      <w:numFmt w:val="chineseCounting"/>
      <w:suff w:val="nothing"/>
      <w:lvlText w:val="（%1）"/>
      <w:lvlJc w:val="left"/>
      <w:rPr>
        <w:rFonts w:hint="eastAsia"/>
      </w:rPr>
    </w:lvl>
  </w:abstractNum>
  <w:abstractNum w:abstractNumId="6">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1D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4F5C7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2DF5"/>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05F8"/>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708A"/>
    <w:rsid w:val="00FF1E02"/>
    <w:rsid w:val="00FF30B4"/>
    <w:rsid w:val="027B27BD"/>
    <w:rsid w:val="02CC3962"/>
    <w:rsid w:val="03DA741B"/>
    <w:rsid w:val="057541DE"/>
    <w:rsid w:val="064467E9"/>
    <w:rsid w:val="073E67AC"/>
    <w:rsid w:val="078F05D9"/>
    <w:rsid w:val="088D3CDE"/>
    <w:rsid w:val="09A66D34"/>
    <w:rsid w:val="0A066E5B"/>
    <w:rsid w:val="0B3E6699"/>
    <w:rsid w:val="0B5509A3"/>
    <w:rsid w:val="0D222BCE"/>
    <w:rsid w:val="0F8F1E59"/>
    <w:rsid w:val="10655A36"/>
    <w:rsid w:val="10C055FF"/>
    <w:rsid w:val="1178218E"/>
    <w:rsid w:val="13917908"/>
    <w:rsid w:val="153F1697"/>
    <w:rsid w:val="15BF7ACA"/>
    <w:rsid w:val="164B3634"/>
    <w:rsid w:val="16BB723D"/>
    <w:rsid w:val="17264FCB"/>
    <w:rsid w:val="18E8000C"/>
    <w:rsid w:val="18EF27CE"/>
    <w:rsid w:val="1CAD183A"/>
    <w:rsid w:val="1DA16D90"/>
    <w:rsid w:val="1F3100C8"/>
    <w:rsid w:val="1F9A2D7D"/>
    <w:rsid w:val="212B5FC7"/>
    <w:rsid w:val="21810412"/>
    <w:rsid w:val="21BF300D"/>
    <w:rsid w:val="226F116F"/>
    <w:rsid w:val="229F13A0"/>
    <w:rsid w:val="231F751D"/>
    <w:rsid w:val="240371BF"/>
    <w:rsid w:val="28752CFA"/>
    <w:rsid w:val="29446202"/>
    <w:rsid w:val="299458B6"/>
    <w:rsid w:val="29FD04D3"/>
    <w:rsid w:val="2DC074F9"/>
    <w:rsid w:val="2F04323C"/>
    <w:rsid w:val="319D5971"/>
    <w:rsid w:val="319F7F4E"/>
    <w:rsid w:val="31CF3B87"/>
    <w:rsid w:val="31F5049A"/>
    <w:rsid w:val="33A66B62"/>
    <w:rsid w:val="33C803D3"/>
    <w:rsid w:val="33E045EC"/>
    <w:rsid w:val="3606023B"/>
    <w:rsid w:val="36704D34"/>
    <w:rsid w:val="36CC4A58"/>
    <w:rsid w:val="373354C0"/>
    <w:rsid w:val="37466A83"/>
    <w:rsid w:val="375204EB"/>
    <w:rsid w:val="377E06AB"/>
    <w:rsid w:val="3A245A55"/>
    <w:rsid w:val="3A8D43BC"/>
    <w:rsid w:val="3A9D4971"/>
    <w:rsid w:val="3BB53FB4"/>
    <w:rsid w:val="3D3D40D5"/>
    <w:rsid w:val="444E6B5F"/>
    <w:rsid w:val="450A7B76"/>
    <w:rsid w:val="4624390D"/>
    <w:rsid w:val="462C05AE"/>
    <w:rsid w:val="47211797"/>
    <w:rsid w:val="48CF731C"/>
    <w:rsid w:val="490427BA"/>
    <w:rsid w:val="4C600B93"/>
    <w:rsid w:val="4CE74610"/>
    <w:rsid w:val="4D582AB3"/>
    <w:rsid w:val="4ECE2238"/>
    <w:rsid w:val="55A83520"/>
    <w:rsid w:val="56FE17B8"/>
    <w:rsid w:val="583261E8"/>
    <w:rsid w:val="59533431"/>
    <w:rsid w:val="5AE610AB"/>
    <w:rsid w:val="5C770A07"/>
    <w:rsid w:val="5CA0681C"/>
    <w:rsid w:val="5D2805F4"/>
    <w:rsid w:val="5D334D42"/>
    <w:rsid w:val="5FA54B45"/>
    <w:rsid w:val="60077D83"/>
    <w:rsid w:val="60185649"/>
    <w:rsid w:val="607D2A7E"/>
    <w:rsid w:val="60FC2464"/>
    <w:rsid w:val="650E31FF"/>
    <w:rsid w:val="65E93C08"/>
    <w:rsid w:val="65EC192B"/>
    <w:rsid w:val="6672739D"/>
    <w:rsid w:val="6738582C"/>
    <w:rsid w:val="6A5905B7"/>
    <w:rsid w:val="6AB31C95"/>
    <w:rsid w:val="6BA14660"/>
    <w:rsid w:val="6D6624D9"/>
    <w:rsid w:val="6D9C7AE3"/>
    <w:rsid w:val="6FAE2D34"/>
    <w:rsid w:val="6FB1504B"/>
    <w:rsid w:val="72734D90"/>
    <w:rsid w:val="72B84181"/>
    <w:rsid w:val="72D638A5"/>
    <w:rsid w:val="744445F8"/>
    <w:rsid w:val="751B3A5C"/>
    <w:rsid w:val="763B4873"/>
    <w:rsid w:val="79A76CF0"/>
    <w:rsid w:val="7A54146D"/>
    <w:rsid w:val="7A59529F"/>
    <w:rsid w:val="7A5A52D6"/>
    <w:rsid w:val="7B6055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宋体" w:hAnsi="Courier New"/>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DOCUME~1\ADMINI~1\LOCALS~1\Temp\wps.rY2796\Chart3%20in%20Wps.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5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15796997855611"/>
          <c:y val="0.0184044675791287"/>
        </c:manualLayout>
      </c:layout>
      <c:overlay val="0"/>
      <c:spPr>
        <a:noFill/>
        <a:ln>
          <a:noFill/>
        </a:ln>
        <a:effectLst/>
      </c:spPr>
    </c:title>
    <c:autoTitleDeleted val="0"/>
    <c:plotArea>
      <c:layout>
        <c:manualLayout>
          <c:layoutTarget val="inner"/>
          <c:xMode val="edge"/>
          <c:yMode val="edge"/>
          <c:x val="0.0992994996426019"/>
          <c:y val="0.212386709172968"/>
          <c:w val="0.851236597569693"/>
          <c:h val="0.542969158389963"/>
        </c:manualLayout>
      </c:layout>
      <c:barChart>
        <c:barDir val="col"/>
        <c:grouping val="clustered"/>
        <c:varyColors val="0"/>
        <c:ser>
          <c:idx val="0"/>
          <c:order val="0"/>
          <c:tx>
            <c:strRef>
              <c:f>Sheet1!$B$1</c:f>
              <c:strCache>
                <c:ptCount val="1"/>
                <c:pt idx="0">
                  <c:v>收支总计</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4445.59万元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4265.15万元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2018年</c:v>
                </c:pt>
                <c:pt idx="1">
                  <c:v>2019年</c:v>
                </c:pt>
              </c:strCache>
            </c:strRef>
          </c:cat>
          <c:val>
            <c:numRef>
              <c:f>Sheet1!$B$2:$B$3</c:f>
              <c:numCache>
                <c:formatCode>General</c:formatCode>
                <c:ptCount val="2"/>
                <c:pt idx="0">
                  <c:v>4445.59</c:v>
                </c:pt>
                <c:pt idx="1">
                  <c:v>4265.15</c:v>
                </c:pt>
              </c:numCache>
            </c:numRef>
          </c:val>
        </c:ser>
        <c:dLbls>
          <c:showLegendKey val="0"/>
          <c:showVal val="1"/>
          <c:showCatName val="0"/>
          <c:showSerName val="0"/>
          <c:showPercent val="0"/>
          <c:showBubbleSize val="0"/>
        </c:dLbls>
        <c:gapWidth val="355"/>
        <c:overlap val="-70"/>
        <c:axId val="190500189"/>
        <c:axId val="845863696"/>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extLst>
                      <c:ext uri="{02D57815-91ED-43cb-92C2-25804820EDAC}">
                        <c15:fullRef>
                          <c15:sqref/>
                        </c15:fullRef>
                        <c15:formulaRef>
                          <c15:sqref>Sheet1!$A$2:$A$3</c15:sqref>
                        </c15:formulaRef>
                      </c:ext>
                    </c:extLst>
                    <c:strCache>
                      <c:ptCount val="2"/>
                      <c:pt idx="0">
                        <c:v>2018年</c:v>
                      </c:pt>
                      <c:pt idx="1">
                        <c:v>2019年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extLst>
                      <c:ext uri="{02D57815-91ED-43cb-92C2-25804820EDAC}">
                        <c15:fullRef>
                          <c15:sqref/>
                        </c15:fullRef>
                        <c15:formulaRef>
                          <c15:sqref>Sheet1!$A$2:$A$3</c15:sqref>
                        </c15:formulaRef>
                      </c:ext>
                    </c:extLst>
                    <c:strCache>
                      <c:ptCount val="2"/>
                      <c:pt idx="0">
                        <c:v>2018年</c:v>
                      </c:pt>
                      <c:pt idx="1">
                        <c:v>2019年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9050018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5863696"/>
        <c:crosses val="autoZero"/>
        <c:auto val="1"/>
        <c:lblAlgn val="ctr"/>
        <c:lblOffset val="100"/>
        <c:noMultiLvlLbl val="0"/>
      </c:catAx>
      <c:valAx>
        <c:axId val="84586369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5001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335941360566628"/>
          <c:y val="0.00840807174887892"/>
        </c:manualLayout>
      </c:layout>
      <c:overlay val="0"/>
      <c:spPr>
        <a:noFill/>
        <a:ln>
          <a:noFill/>
        </a:ln>
        <a:effectLst/>
      </c:spPr>
    </c:title>
    <c:autoTitleDeleted val="0"/>
    <c:plotArea>
      <c:layout>
        <c:manualLayout>
          <c:layoutTarget val="inner"/>
          <c:xMode val="edge"/>
          <c:yMode val="edge"/>
          <c:x val="0.170253375"/>
          <c:y val="0.100546314289415"/>
          <c:w val="0.60075"/>
          <c:h val="0.801"/>
        </c:manualLayout>
      </c:layout>
      <c:pieChart>
        <c:varyColors val="1"/>
        <c:ser>
          <c:idx val="0"/>
          <c:order val="0"/>
          <c:tx>
            <c:strRef>
              <c:f>Sheet1!$B$1</c:f>
              <c:strCache>
                <c:ptCount val="1"/>
                <c:pt idx="0">
                  <c:v>系列 1</c:v>
                </c:pt>
              </c:strCache>
            </c:strRef>
          </c:tx>
          <c:spPr/>
          <c:explosion val="0"/>
          <c:dPt>
            <c:idx val="0"/>
            <c:bubble3D val="0"/>
            <c:explosion val="2"/>
            <c:spPr>
              <a:solidFill>
                <a:schemeClr val="accent1">
                  <a:tint val="76667"/>
                </a:schemeClr>
              </a:solidFill>
              <a:ln w="19050">
                <a:solidFill>
                  <a:schemeClr val="lt1"/>
                </a:solidFill>
              </a:ln>
              <a:effectLst/>
            </c:spPr>
          </c:dPt>
          <c:dPt>
            <c:idx val="1"/>
            <c:bubble3D val="0"/>
            <c:spPr>
              <a:solidFill>
                <a:schemeClr val="accent1">
                  <a:shade val="76667"/>
                </a:schemeClr>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89.28%</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10.72%</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(Sheet1!$A$2,Sheet1!$A$5)</c:f>
              <c:strCache>
                <c:ptCount val="2"/>
                <c:pt idx="0">
                  <c:v>一般公共预算财政拨款收入</c:v>
                </c:pt>
                <c:pt idx="1">
                  <c:v>政府性基金预算财政拨款收入</c:v>
                </c:pt>
              </c:strCache>
            </c:strRef>
          </c:cat>
          <c:val>
            <c:numRef>
              <c:extLst>
                <c:ext xmlns:c15="http://schemas.microsoft.com/office/drawing/2012/chart" uri="{02D57815-91ED-43cb-92C2-25804820EDAC}">
                  <c15:fullRef>
                    <c15:sqref>Sheet1!$B$2:$B$5</c15:sqref>
                  </c15:fullRef>
                </c:ext>
              </c:extLst>
              <c:f>(Sheet1!$B$2,Sheet1!$B$5)</c:f>
              <c:numCache>
                <c:formatCode>0.00%</c:formatCode>
                <c:ptCount val="2"/>
                <c:pt idx="0">
                  <c:v>0.8928</c:v>
                </c:pt>
                <c:pt idx="1">
                  <c:v>0.1072</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系列 2</c:v>
                      </c:pt>
                    </c:strCache>
                  </c:strRef>
                </c:tx>
                <c:spPr/>
                <c:explosion val="0"/>
                <c:dPt>
                  <c:idx val="0"/>
                  <c:bubble3D val="0"/>
                  <c:spPr>
                    <a:solidFill>
                      <a:schemeClr val="accent1">
                        <a:tint val="76667"/>
                      </a:schemeClr>
                    </a:solidFill>
                    <a:ln w="19050">
                      <a:solidFill>
                        <a:schemeClr val="lt1"/>
                      </a:solidFill>
                    </a:ln>
                    <a:effectLst/>
                  </c:spPr>
                </c:dPt>
                <c:dPt>
                  <c:idx val="1"/>
                  <c:bubble3D val="0"/>
                  <c:spPr>
                    <a:solidFill>
                      <a:schemeClr val="accent1">
                        <a:shade val="76667"/>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(Sheet1!$A$2,Sheet1!$A$5)</c15:sqref>
                        </c15:formulaRef>
                      </c:ext>
                    </c:extLst>
                    <c:strCache>
                      <c:ptCount val="2"/>
                      <c:pt idx="0">
                        <c:v>一般公共预算财政拨款收入</c:v>
                      </c:pt>
                      <c:pt idx="1">
                        <c:v>政府性基金预算财政拨款收入</c:v>
                      </c:pt>
                    </c:strCache>
                  </c:strRef>
                </c:cat>
                <c:val>
                  <c:numRef>
                    <c:extLst>
                      <c:ext uri="{02D57815-91ED-43cb-92C2-25804820EDAC}">
                        <c15:fullRef>
                          <c15:sqref>Sheet1!$C$2:$C$5</c15:sqref>
                        </c15:fullRef>
                        <c15:formulaRef>
                          <c15:sqref>(Sheet1!$C$2,Sheet1!$C$5)</c15:sqref>
                        </c15:formulaRef>
                      </c:ext>
                    </c:extLst>
                    <c:numCache>
                      <c:formatCode>General</c:formatCode>
                      <c:ptCount val="2"/>
                      <c:pt idx="0">
                        <c:v>2.4</c:v>
                      </c:pt>
                      <c:pt idx="1">
                        <c:v>2.8</c:v>
                      </c:pt>
                    </c:numCache>
                  </c:numRef>
                </c:val>
              </c15:ser>
            </c15:filteredPieSeries>
            <c15:filteredPieSeries>
              <c15:ser>
                <c:idx val="2"/>
                <c:order val="2"/>
                <c:tx>
                  <c:strRef>
                    <c:extLst>
                      <c:ext uri="{02D57815-91ED-43cb-92C2-25804820EDAC}">
                        <c15:formulaRef>
                          <c15:sqref>Sheet1!$D$1</c15:sqref>
                        </c15:formulaRef>
                      </c:ext>
                    </c:extLst>
                    <c:strCache>
                      <c:ptCount val="1"/>
                      <c:pt idx="0">
                        <c:v>系列 3</c:v>
                      </c:pt>
                    </c:strCache>
                  </c:strRef>
                </c:tx>
                <c:spPr/>
                <c:explosion val="0"/>
                <c:dPt>
                  <c:idx val="0"/>
                  <c:bubble3D val="0"/>
                  <c:spPr>
                    <a:solidFill>
                      <a:schemeClr val="accent1">
                        <a:tint val="76667"/>
                      </a:schemeClr>
                    </a:solidFill>
                    <a:ln w="19050">
                      <a:solidFill>
                        <a:schemeClr val="lt1"/>
                      </a:solidFill>
                    </a:ln>
                    <a:effectLst/>
                  </c:spPr>
                </c:dPt>
                <c:dPt>
                  <c:idx val="1"/>
                  <c:bubble3D val="0"/>
                  <c:spPr>
                    <a:solidFill>
                      <a:schemeClr val="accent1">
                        <a:shade val="76667"/>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(Sheet1!$A$2,Sheet1!$A$5)</c15:sqref>
                        </c15:formulaRef>
                      </c:ext>
                    </c:extLst>
                    <c:strCache>
                      <c:ptCount val="2"/>
                      <c:pt idx="0">
                        <c:v>一般公共预算财政拨款收入</c:v>
                      </c:pt>
                      <c:pt idx="1">
                        <c:v>政府性基金预算财政拨款收入</c:v>
                      </c:pt>
                    </c:strCache>
                  </c:strRef>
                </c:cat>
                <c:val>
                  <c:numRef>
                    <c:extLst>
                      <c:ext uri="{02D57815-91ED-43cb-92C2-25804820EDAC}">
                        <c15:fullRef>
                          <c15:sqref>Sheet1!$D$2:$D$5</c15:sqref>
                        </c15:fullRef>
                        <c15:formulaRef>
                          <c15:sqref>(Sheet1!$D$2,Sheet1!$D$5)</c15:sqref>
                        </c15:formulaRef>
                      </c:ext>
                    </c:extLst>
                    <c:numCache>
                      <c:formatCode>General</c:formatCode>
                      <c:ptCount val="2"/>
                      <c:pt idx="0">
                        <c:v>2</c:v>
                      </c:pt>
                      <c:pt idx="1">
                        <c:v>5</c:v>
                      </c:pt>
                    </c:numCache>
                  </c:numRef>
                </c:val>
              </c15:ser>
            </c15:filteredPieSeries>
          </c:ext>
        </c:extLst>
      </c:pieChart>
      <c:spPr>
        <a:noFill/>
        <a:ln>
          <a:noFill/>
        </a:ln>
        <a:effectLst/>
      </c:spPr>
    </c:plotArea>
    <c:legend>
      <c:legendPos val="b"/>
      <c:layout>
        <c:manualLayout>
          <c:xMode val="edge"/>
          <c:yMode val="edge"/>
          <c:x val="0.1669375"/>
          <c:y val="0.92945977458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5">
                  <a:tint val="76667"/>
                </a:schemeClr>
              </a:solidFill>
              <a:ln>
                <a:noFill/>
              </a:ln>
              <a:effectLst>
                <a:outerShdw blurRad="254000" sx="102000" sy="102000" algn="ctr" rotWithShape="0">
                  <a:prstClr val="black">
                    <a:alpha val="20000"/>
                  </a:prstClr>
                </a:outerShdw>
              </a:effectLst>
            </c:spPr>
          </c:dPt>
          <c:dPt>
            <c:idx val="1"/>
            <c:bubble3D val="0"/>
            <c:spPr>
              <a:solidFill>
                <a:schemeClr val="accent5">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Sheet1!$A$2:$A$5</c15:sqref>
                  </c15:fullRef>
                </c:ext>
              </c:extLst>
              <c:f>(Sheet1!$A$2,Sheet1!$A$5)</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(Sheet1!$B$2,Sheet1!$B$5)</c:f>
              <c:numCache>
                <c:formatCode>0.00%</c:formatCode>
                <c:ptCount val="2"/>
                <c:pt idx="0">
                  <c:v>0.6336</c:v>
                </c:pt>
                <c:pt idx="1">
                  <c:v>0.3664</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系列 2</c:v>
                      </c:pt>
                    </c:strCache>
                  </c:strRef>
                </c:tx>
                <c:spPr/>
                <c:explosion val="0"/>
                <c:dPt>
                  <c:idx val="0"/>
                  <c:bubble3D val="0"/>
                  <c:spPr>
                    <a:solidFill>
                      <a:schemeClr val="accent5">
                        <a:tint val="76667"/>
                      </a:schemeClr>
                    </a:solidFill>
                    <a:ln>
                      <a:noFill/>
                    </a:ln>
                    <a:effectLst>
                      <a:outerShdw blurRad="254000" sx="102000" sy="102000" algn="ctr" rotWithShape="0">
                        <a:prstClr val="black">
                          <a:alpha val="20000"/>
                        </a:prstClr>
                      </a:outerShdw>
                    </a:effectLst>
                  </c:spPr>
                </c:dPt>
                <c:dPt>
                  <c:idx val="1"/>
                  <c:bubble3D val="0"/>
                  <c:spPr>
                    <a:solidFill>
                      <a:schemeClr val="accent5">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uri="{02D57815-91ED-43cb-92C2-25804820EDAC}">
                        <c15:fullRef>
                          <c15:sqref>Sheet1!$A$2:$A$5</c15:sqref>
                        </c15:fullRef>
                        <c15:formulaRef>
                          <c15:sqref>(Sheet1!$A$2,Sheet1!$A$5)</c15:sqref>
                        </c15:formulaRef>
                      </c:ext>
                    </c:extLst>
                    <c:strCache>
                      <c:ptCount val="2"/>
                      <c:pt idx="0">
                        <c:v>基本支出</c:v>
                      </c:pt>
                      <c:pt idx="1">
                        <c:v>项目支出</c:v>
                      </c:pt>
                    </c:strCache>
                  </c:strRef>
                </c:cat>
                <c:val>
                  <c:numRef>
                    <c:extLst>
                      <c:ext uri="{02D57815-91ED-43cb-92C2-25804820EDAC}">
                        <c15:fullRef>
                          <c15:sqref>Sheet1!$C$2:$C$5</c15:sqref>
                        </c15:fullRef>
                        <c15:formulaRef>
                          <c15:sqref>(Sheet1!$C$2,Sheet1!$C$5)</c15:sqref>
                        </c15:formulaRef>
                      </c:ext>
                    </c:extLst>
                    <c:numCache>
                      <c:formatCode>General</c:formatCode>
                      <c:ptCount val="2"/>
                      <c:pt idx="0">
                        <c:v>2.4</c:v>
                      </c:pt>
                      <c:pt idx="1">
                        <c:v>2.8</c:v>
                      </c:pt>
                    </c:numCache>
                  </c:numRef>
                </c:val>
              </c15:ser>
            </c15:filteredPieSeries>
            <c15:filteredPieSeries>
              <c15:ser>
                <c:idx val="2"/>
                <c:order val="2"/>
                <c:tx>
                  <c:strRef>
                    <c:extLst>
                      <c:ext uri="{02D57815-91ED-43cb-92C2-25804820EDAC}">
                        <c15:formulaRef>
                          <c15:sqref>Sheet1!$D$1</c15:sqref>
                        </c15:formulaRef>
                      </c:ext>
                    </c:extLst>
                    <c:strCache>
                      <c:ptCount val="1"/>
                      <c:pt idx="0">
                        <c:v>系列 3</c:v>
                      </c:pt>
                    </c:strCache>
                  </c:strRef>
                </c:tx>
                <c:spPr/>
                <c:explosion val="0"/>
                <c:dPt>
                  <c:idx val="0"/>
                  <c:bubble3D val="0"/>
                  <c:spPr>
                    <a:solidFill>
                      <a:schemeClr val="accent5">
                        <a:tint val="76667"/>
                      </a:schemeClr>
                    </a:solidFill>
                    <a:ln>
                      <a:noFill/>
                    </a:ln>
                    <a:effectLst>
                      <a:outerShdw blurRad="254000" sx="102000" sy="102000" algn="ctr" rotWithShape="0">
                        <a:prstClr val="black">
                          <a:alpha val="20000"/>
                        </a:prstClr>
                      </a:outerShdw>
                    </a:effectLst>
                  </c:spPr>
                </c:dPt>
                <c:dPt>
                  <c:idx val="1"/>
                  <c:bubble3D val="0"/>
                  <c:spPr>
                    <a:solidFill>
                      <a:schemeClr val="accent5">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uri="{02D57815-91ED-43cb-92C2-25804820EDAC}">
                        <c15:fullRef>
                          <c15:sqref>Sheet1!$A$2:$A$5</c15:sqref>
                        </c15:fullRef>
                        <c15:formulaRef>
                          <c15:sqref>(Sheet1!$A$2,Sheet1!$A$5)</c15:sqref>
                        </c15:formulaRef>
                      </c:ext>
                    </c:extLst>
                    <c:strCache>
                      <c:ptCount val="2"/>
                      <c:pt idx="0">
                        <c:v>基本支出</c:v>
                      </c:pt>
                      <c:pt idx="1">
                        <c:v>项目支出</c:v>
                      </c:pt>
                    </c:strCache>
                  </c:strRef>
                </c:cat>
                <c:val>
                  <c:numRef>
                    <c:extLst>
                      <c:ext uri="{02D57815-91ED-43cb-92C2-25804820EDAC}">
                        <c15:fullRef>
                          <c15:sqref>Sheet1!$D$2:$D$5</c15:sqref>
                        </c15:fullRef>
                        <c15:formulaRef>
                          <c15:sqref>(Sheet1!$D$2,Sheet1!$D$5)</c15:sqref>
                        </c15:formulaRef>
                      </c:ext>
                    </c:extLst>
                    <c:numCache>
                      <c:formatCode>General</c:formatCode>
                      <c:ptCount val="2"/>
                      <c:pt idx="0">
                        <c:v>2</c:v>
                      </c:pt>
                      <c:pt idx="1">
                        <c:v>5</c:v>
                      </c:pt>
                    </c:numCache>
                  </c:numRef>
                </c:val>
              </c15:ser>
            </c15:filteredPieSeries>
          </c:ext>
        </c:extLst>
      </c:pieChart>
      <c:spPr>
        <a:noFill/>
        <a:ln>
          <a:noFill/>
        </a:ln>
        <a:effectLst/>
      </c:spPr>
    </c:plotArea>
    <c:legend>
      <c:legendPos val="r"/>
      <c:layout>
        <c:manualLayout>
          <c:xMode val="edge"/>
          <c:yMode val="edge"/>
          <c:x val="0.700092234595695"/>
          <c:y val="0.48075072184793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财政拨款收、支总计</c:v>
                </c:pt>
              </c:strCache>
            </c:strRef>
          </c:tx>
          <c:spPr>
            <a:solidFill>
              <a:schemeClr val="accent1">
                <a:shade val="65000"/>
              </a:schemeClr>
            </a:solidFill>
            <a:ln>
              <a:noFill/>
            </a:ln>
            <a:effectLst/>
          </c:spPr>
          <c:invertIfNegative val="0"/>
          <c:dLbls>
            <c:delete val="1"/>
          </c:dLbls>
          <c:cat>
            <c:strRef>
              <c:f>Sheet1!$A$2:$A$3</c:f>
              <c:strCache>
                <c:ptCount val="2"/>
                <c:pt idx="0">
                  <c:v>2018年</c:v>
                </c:pt>
                <c:pt idx="1">
                  <c:v>2019年</c:v>
                </c:pt>
              </c:strCache>
            </c:strRef>
          </c:cat>
          <c:val>
            <c:numRef>
              <c:f>Sheet1!$B$2:$B$3</c:f>
              <c:numCache>
                <c:formatCode>General</c:formatCode>
                <c:ptCount val="2"/>
                <c:pt idx="0">
                  <c:v>4392.77</c:v>
                </c:pt>
                <c:pt idx="1">
                  <c:v>4212.69</c:v>
                </c:pt>
              </c:numCache>
            </c:numRef>
          </c:val>
        </c:ser>
        <c:dLbls>
          <c:showLegendKey val="0"/>
          <c:showVal val="0"/>
          <c:showCatName val="0"/>
          <c:showSerName val="0"/>
          <c:showPercent val="0"/>
          <c:showBubbleSize val="0"/>
        </c:dLbls>
        <c:gapWidth val="150"/>
        <c:overlap val="0"/>
        <c:axId val="890012637"/>
        <c:axId val="55834144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1"/>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2018年</c:v>
                      </c:pt>
                      <c:pt idx="1">
                        <c:v>2019年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1">
                      <a:tint val="65000"/>
                    </a:schemeClr>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2018年</c:v>
                      </c:pt>
                      <c:pt idx="1">
                        <c:v>2019年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8900126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341448"/>
        <c:crosses val="autoZero"/>
        <c:auto val="1"/>
        <c:lblAlgn val="ctr"/>
        <c:lblOffset val="100"/>
        <c:noMultiLvlLbl val="0"/>
      </c:catAx>
      <c:valAx>
        <c:axId val="558341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0126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一般公共预算财政拨款支出决算变动情况</a:t>
            </a:r>
          </a:p>
        </c:rich>
      </c:tx>
      <c:layout>
        <c:manualLayout>
          <c:xMode val="edge"/>
          <c:yMode val="edge"/>
          <c:x val="0.169932286414061"/>
          <c:y val="0.0394440270473328"/>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(Sheet1!$A$2,Sheet1!$A$4)</c:f>
              <c:strCache>
                <c:ptCount val="2"/>
                <c:pt idx="0">
                  <c:v>2018年</c:v>
                </c:pt>
                <c:pt idx="1">
                  <c:v>2019年</c:v>
                </c:pt>
              </c:strCache>
            </c:strRef>
          </c:cat>
          <c:val>
            <c:numRef>
              <c:extLst>
                <c:ext xmlns:c15="http://schemas.microsoft.com/office/drawing/2012/chart" uri="{02D57815-91ED-43cb-92C2-25804820EDAC}">
                  <c15:fullRef>
                    <c15:sqref>Sheet1!$B$2:$B$5</c15:sqref>
                  </c15:fullRef>
                </c:ext>
              </c:extLst>
              <c:f>(Sheet1!$B$2,Sheet1!$B$4)</c:f>
              <c:numCache>
                <c:formatCode>General</c:formatCode>
                <c:ptCount val="2"/>
                <c:pt idx="0">
                  <c:v>3481.62</c:v>
                </c:pt>
                <c:pt idx="1">
                  <c:v>2754.06</c:v>
                </c:pt>
              </c:numCache>
            </c:numRef>
          </c:val>
        </c:ser>
        <c:dLbls>
          <c:showLegendKey val="0"/>
          <c:showVal val="1"/>
          <c:showCatName val="0"/>
          <c:showSerName val="0"/>
          <c:showPercent val="0"/>
          <c:showBubbleSize val="0"/>
        </c:dLbls>
        <c:gapWidth val="75"/>
        <c:overlap val="-25"/>
        <c:axId val="220440129"/>
        <c:axId val="535748495"/>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(Sheet1!$A$2,Sheet1!$A$4)</c15:sqref>
                        </c15:formulaRef>
                      </c:ext>
                    </c:extLst>
                    <c:strCache>
                      <c:ptCount val="2"/>
                      <c:pt idx="0">
                        <c:v>2018年</c:v>
                      </c:pt>
                      <c:pt idx="1">
                        <c:v>2019年</c:v>
                      </c:pt>
                    </c:strCache>
                  </c:strRef>
                </c:cat>
                <c:val>
                  <c:numRef>
                    <c:extLst>
                      <c:ext uri="{02D57815-91ED-43cb-92C2-25804820EDAC}">
                        <c15:fullRef>
                          <c15:sqref>Sheet1!$C$2:$C$5</c15:sqref>
                        </c15:fullRef>
                        <c15:formulaRef>
                          <c15:sqref>(Sheet1!$C$2,Sheet1!$C$4)</c15:sqref>
                        </c15:formulaRef>
                      </c:ext>
                    </c:extLst>
                    <c:numCache>
                      <c:formatCode>General</c:formatCode>
                      <c:ptCount val="2"/>
                      <c:pt idx="0">
                        <c:v>2.4</c:v>
                      </c:pt>
                      <c:pt idx="1">
                        <c:v>1.8</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(Sheet1!$A$2,Sheet1!$A$4)</c15:sqref>
                        </c15:formulaRef>
                      </c:ext>
                    </c:extLst>
                    <c:strCache>
                      <c:ptCount val="2"/>
                      <c:pt idx="0">
                        <c:v>2018年</c:v>
                      </c:pt>
                      <c:pt idx="1">
                        <c:v>2019年</c:v>
                      </c:pt>
                    </c:strCache>
                  </c:strRef>
                </c:cat>
                <c:val>
                  <c:numRef>
                    <c:extLst>
                      <c:ext uri="{02D57815-91ED-43cb-92C2-25804820EDAC}">
                        <c15:fullRef>
                          <c15:sqref>Sheet1!$D$2:$D$5</c15:sqref>
                        </c15:fullRef>
                        <c15:formulaRef>
                          <c15:sqref>(Sheet1!$D$2,Sheet1!$D$4)</c15:sqref>
                        </c15:formulaRef>
                      </c:ext>
                    </c:extLst>
                    <c:numCache>
                      <c:formatCode>General</c:formatCode>
                      <c:ptCount val="2"/>
                      <c:pt idx="0">
                        <c:v>2</c:v>
                      </c:pt>
                      <c:pt idx="1">
                        <c:v>3</c:v>
                      </c:pt>
                    </c:numCache>
                  </c:numRef>
                </c:val>
              </c15:ser>
            </c15:filteredBarSeries>
          </c:ext>
        </c:extLst>
      </c:barChart>
      <c:catAx>
        <c:axId val="2204401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535748495"/>
        <c:crosses val="autoZero"/>
        <c:auto val="1"/>
        <c:lblAlgn val="ctr"/>
        <c:lblOffset val="100"/>
        <c:noMultiLvlLbl val="0"/>
      </c:catAx>
      <c:valAx>
        <c:axId val="535748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2204401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dLbl>
              <c:idx val="1"/>
              <c:layout>
                <c:manualLayout>
                  <c:x val="-0.00159033884486426"/>
                  <c:y val="0.1117878267832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39316273707619"/>
                  <c:y val="0.10197792394285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一般公共服务（类）支出</c:v>
                </c:pt>
                <c:pt idx="1">
                  <c:v>社会保障和就业（类）支出</c:v>
                </c:pt>
                <c:pt idx="2">
                  <c:v>农林水支出</c:v>
                </c:pt>
                <c:pt idx="3">
                  <c:v>住房保障支出</c:v>
                </c:pt>
              </c:strCache>
            </c:strRef>
          </c:cat>
          <c:val>
            <c:numRef>
              <c:f>Sheet1!$B$2:$B$5</c:f>
              <c:numCache>
                <c:formatCode>0.00%</c:formatCode>
                <c:ptCount val="4"/>
                <c:pt idx="0">
                  <c:v>0.0024</c:v>
                </c:pt>
                <c:pt idx="1">
                  <c:v>0.0958</c:v>
                </c:pt>
                <c:pt idx="2">
                  <c:v>0.8537</c:v>
                </c:pt>
                <c:pt idx="3">
                  <c:v>0.0481</c:v>
                </c:pt>
              </c:numCache>
            </c:numRef>
          </c:val>
        </c:ser>
        <c:ser>
          <c:idx val="1"/>
          <c:order val="1"/>
          <c:tx>
            <c:strRef>
              <c:f>Sheet1!$C$1</c:f>
              <c:strCache>
                <c:ptCount val="1"/>
                <c:pt idx="0">
                  <c:v>系列 2</c:v>
                </c:pt>
              </c:strCache>
            </c:strRef>
          </c:tx>
          <c:spPr/>
          <c:explosion val="0"/>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一般公共服务（类）支出</c:v>
                </c:pt>
                <c:pt idx="1">
                  <c:v>社会保障和就业（类）支出</c:v>
                </c:pt>
                <c:pt idx="2">
                  <c:v>农林水支出</c:v>
                </c:pt>
                <c:pt idx="3">
                  <c:v>住房保障支出</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系列 3</c:v>
                </c:pt>
              </c:strCache>
            </c:strRef>
          </c:tx>
          <c:spPr/>
          <c:explosion val="0"/>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一般公共服务（类）支出</c:v>
                </c:pt>
                <c:pt idx="1">
                  <c:v>社会保障和就业（类）支出</c:v>
                </c:pt>
                <c:pt idx="2">
                  <c:v>农林水支出</c:v>
                </c:pt>
                <c:pt idx="3">
                  <c:v>住房保障支出</c:v>
                </c:pt>
              </c:strCache>
            </c:strRef>
          </c:cat>
          <c:val>
            <c:numRef>
              <c:f>Sheet1!$D$2:$D$5</c:f>
              <c:numCache>
                <c:formatCode>General</c:formatCode>
                <c:ptCount val="4"/>
                <c:pt idx="0">
                  <c:v>2</c:v>
                </c:pt>
                <c:pt idx="1">
                  <c:v>2</c:v>
                </c:pt>
                <c:pt idx="2">
                  <c:v>3</c:v>
                </c:pt>
                <c:pt idx="3">
                  <c:v>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7757009345794"/>
          <c:y val="0.0110619469026549"/>
        </c:manualLayout>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Lbls>
            <c:dLbl>
              <c:idx val="2"/>
              <c:layout>
                <c:manualLayout>
                  <c:x val="-0.0328102505182924"/>
                  <c:y val="0.0095658919322916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formatCode="0.00%">
                  <c:v>0.9427</c:v>
                </c:pt>
                <c:pt idx="2" c:formatCode="0.00%">
                  <c:v>0.0573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1277</Words>
  <Characters>7279</Characters>
  <Lines>60</Lines>
  <Paragraphs>17</Paragraphs>
  <TotalTime>7</TotalTime>
  <ScaleCrop>false</ScaleCrop>
  <LinksUpToDate>false</LinksUpToDate>
  <CharactersWithSpaces>8539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天空之城</cp:lastModifiedBy>
  <cp:lastPrinted>2020-09-15T10:31:37Z</cp:lastPrinted>
  <dcterms:modified xsi:type="dcterms:W3CDTF">2020-09-15T10:46:31Z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