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方正小标宋简体" w:hAnsi="宋体" w:eastAsia="方正小标宋简体"/>
          <w:color w:val="000000"/>
          <w:sz w:val="72"/>
          <w:szCs w:val="72"/>
        </w:rPr>
      </w:pPr>
      <w:bookmarkStart w:id="0" w:name="_Toc15306267"/>
    </w:p>
    <w:p>
      <w:pPr>
        <w:spacing w:line="600" w:lineRule="exact"/>
        <w:jc w:val="center"/>
        <w:rPr>
          <w:rFonts w:ascii="方正小标宋简体" w:hAnsi="宋体" w:eastAsia="方正小标宋简体"/>
          <w:color w:val="000000"/>
          <w:sz w:val="72"/>
          <w:szCs w:val="72"/>
        </w:rPr>
      </w:pPr>
    </w:p>
    <w:p>
      <w:pPr>
        <w:spacing w:line="600" w:lineRule="exact"/>
        <w:jc w:val="center"/>
        <w:rPr>
          <w:rFonts w:ascii="方正小标宋简体" w:hAnsi="宋体" w:eastAsia="方正小标宋简体"/>
          <w:color w:val="000000"/>
          <w:sz w:val="72"/>
          <w:szCs w:val="72"/>
        </w:rPr>
      </w:pPr>
    </w:p>
    <w:p>
      <w:pPr>
        <w:adjustRightInd w:val="0"/>
        <w:snapToGrid w:val="0"/>
        <w:spacing w:line="360" w:lineRule="auto"/>
        <w:jc w:val="center"/>
        <w:outlineLvl w:val="0"/>
        <w:rPr>
          <w:rFonts w:ascii="方正小标宋简体" w:hAnsi="宋体" w:eastAsia="方正小标宋简体"/>
          <w:color w:val="000000"/>
          <w:sz w:val="72"/>
          <w:szCs w:val="72"/>
        </w:rPr>
      </w:pPr>
      <w:bookmarkStart w:id="1" w:name="_Toc15378441"/>
      <w:bookmarkStart w:id="2" w:name="_Toc7744"/>
      <w:bookmarkStart w:id="3" w:name="_Toc26776"/>
      <w:bookmarkStart w:id="4" w:name="_Toc13763"/>
      <w:bookmarkStart w:id="5" w:name="_Toc15377193"/>
      <w:bookmarkStart w:id="6" w:name="_Toc13944"/>
      <w:bookmarkStart w:id="7" w:name="_Toc15396597"/>
      <w:bookmarkStart w:id="8" w:name="_Toc15396475"/>
      <w:bookmarkStart w:id="9" w:name="_Toc28384"/>
      <w:bookmarkStart w:id="10" w:name="_Toc15377425"/>
      <w:r>
        <w:rPr>
          <w:rFonts w:ascii="黑体" w:hAnsi="黑体" w:eastAsia="黑体"/>
          <w:color w:val="000000"/>
          <w:sz w:val="72"/>
          <w:szCs w:val="72"/>
        </w:rPr>
        <w:t>2020</w:t>
      </w:r>
      <w:r>
        <w:rPr>
          <w:rFonts w:hint="eastAsia" w:ascii="方正小标宋简体" w:hAnsi="宋体" w:eastAsia="方正小标宋简体"/>
          <w:color w:val="000000"/>
          <w:sz w:val="72"/>
          <w:szCs w:val="72"/>
        </w:rPr>
        <w:t>年度</w:t>
      </w:r>
      <w:bookmarkEnd w:id="1"/>
      <w:bookmarkEnd w:id="2"/>
      <w:bookmarkEnd w:id="3"/>
      <w:bookmarkEnd w:id="4"/>
      <w:bookmarkEnd w:id="5"/>
      <w:bookmarkEnd w:id="6"/>
      <w:bookmarkEnd w:id="7"/>
      <w:bookmarkEnd w:id="8"/>
      <w:bookmarkEnd w:id="9"/>
      <w:bookmarkEnd w:id="10"/>
    </w:p>
    <w:p>
      <w:pPr>
        <w:adjustRightInd w:val="0"/>
        <w:snapToGrid w:val="0"/>
        <w:spacing w:line="360" w:lineRule="auto"/>
        <w:jc w:val="center"/>
        <w:outlineLvl w:val="0"/>
        <w:rPr>
          <w:rFonts w:ascii="方正小标宋简体" w:hAnsi="宋体" w:eastAsia="方正小标宋简体"/>
          <w:color w:val="000000"/>
          <w:sz w:val="72"/>
          <w:szCs w:val="72"/>
        </w:rPr>
      </w:pPr>
      <w:bookmarkStart w:id="11" w:name="_Toc15377426"/>
      <w:bookmarkStart w:id="12" w:name="_Toc30957"/>
      <w:bookmarkStart w:id="13" w:name="_Toc10052"/>
      <w:bookmarkStart w:id="14" w:name="_Toc20328"/>
      <w:bookmarkStart w:id="15" w:name="_Toc15396476"/>
      <w:bookmarkStart w:id="16" w:name="_Toc11309"/>
      <w:bookmarkStart w:id="17" w:name="_Toc5211"/>
      <w:bookmarkStart w:id="18" w:name="_Toc15396598"/>
      <w:bookmarkStart w:id="19" w:name="_Toc15378442"/>
      <w:bookmarkStart w:id="20" w:name="_Toc15377194"/>
      <w:r>
        <w:rPr>
          <w:rFonts w:hint="eastAsia" w:ascii="方正小标宋简体" w:hAnsi="宋体" w:eastAsia="方正小标宋简体"/>
          <w:color w:val="000000"/>
          <w:sz w:val="72"/>
          <w:szCs w:val="72"/>
        </w:rPr>
        <w:t>四川省</w:t>
      </w:r>
      <w:bookmarkEnd w:id="0"/>
      <w:bookmarkStart w:id="21" w:name="_Toc15306268"/>
      <w:r>
        <w:rPr>
          <w:rFonts w:hint="eastAsia" w:ascii="方正小标宋简体" w:hAnsi="宋体" w:eastAsia="方正小标宋简体"/>
          <w:color w:val="000000"/>
          <w:sz w:val="72"/>
          <w:szCs w:val="72"/>
        </w:rPr>
        <w:t>攀枝花市胜利水利工程运行中心部门决算</w:t>
      </w:r>
      <w:bookmarkEnd w:id="11"/>
      <w:bookmarkEnd w:id="12"/>
      <w:bookmarkEnd w:id="13"/>
      <w:bookmarkEnd w:id="14"/>
      <w:bookmarkEnd w:id="15"/>
      <w:bookmarkEnd w:id="16"/>
      <w:bookmarkEnd w:id="17"/>
      <w:bookmarkEnd w:id="18"/>
      <w:bookmarkEnd w:id="19"/>
      <w:bookmarkEnd w:id="20"/>
      <w:bookmarkEnd w:id="21"/>
    </w:p>
    <w:p>
      <w:pPr>
        <w:widowControl/>
        <w:jc w:val="center"/>
        <w:rPr>
          <w:rFonts w:hint="eastAsia" w:ascii="方正小标宋简体" w:hAnsi="宋体" w:eastAsia="方正小标宋简体"/>
          <w:color w:val="000000"/>
          <w:sz w:val="52"/>
          <w:szCs w:val="52"/>
        </w:rPr>
        <w:sectPr>
          <w:footerReference r:id="rId3" w:type="default"/>
          <w:pgSz w:w="11906" w:h="16838"/>
          <w:pgMar w:top="1440" w:right="1800" w:bottom="1440" w:left="1800" w:header="851" w:footer="992" w:gutter="0"/>
          <w:pgNumType w:start="1"/>
          <w:cols w:space="720" w:num="1"/>
          <w:titlePg/>
          <w:docGrid w:type="lines" w:linePitch="312" w:charSpace="0"/>
        </w:sectPr>
      </w:pPr>
      <w:r>
        <w:rPr>
          <w:rFonts w:hint="eastAsia" w:ascii="方正小标宋简体" w:hAnsi="宋体" w:eastAsia="方正小标宋简体"/>
          <w:color w:val="000000"/>
          <w:sz w:val="52"/>
          <w:szCs w:val="52"/>
        </w:rPr>
        <w:t xml:space="preserve"> </w:t>
      </w:r>
      <w:bookmarkStart w:id="22" w:name="_Toc32632"/>
    </w:p>
    <w:p>
      <w:pPr>
        <w:widowControl/>
        <w:jc w:val="center"/>
        <w:rPr>
          <w:rFonts w:hAnsi="黑体" w:eastAsia="黑体"/>
          <w:color w:val="000000"/>
          <w:sz w:val="48"/>
          <w:szCs w:val="48"/>
        </w:rPr>
      </w:pPr>
      <w:r>
        <w:rPr>
          <w:rFonts w:hAnsi="黑体" w:eastAsia="黑体"/>
          <w:color w:val="000000"/>
          <w:sz w:val="48"/>
          <w:szCs w:val="48"/>
        </w:rPr>
        <w:t>目录</w:t>
      </w:r>
    </w:p>
    <w:p>
      <w:pPr>
        <w:widowControl/>
        <w:jc w:val="center"/>
        <w:rPr>
          <w:rFonts w:hint="eastAsia" w:ascii="仿宋" w:hAnsi="仿宋" w:eastAsia="仿宋" w:cs="仿宋"/>
          <w:sz w:val="28"/>
          <w:szCs w:val="28"/>
        </w:rPr>
      </w:pPr>
      <w:bookmarkStart w:id="23" w:name="_Toc23720"/>
      <w:r>
        <w:rPr>
          <w:rFonts w:hint="eastAsia" w:ascii="仿宋" w:hAnsi="仿宋" w:eastAsia="仿宋" w:cs="仿宋"/>
          <w:color w:val="000000"/>
          <w:sz w:val="28"/>
          <w:szCs w:val="28"/>
        </w:rPr>
        <w:t>公开时间：2021</w:t>
      </w:r>
      <w:r>
        <w:rPr>
          <w:rFonts w:hint="eastAsia" w:ascii="仿宋" w:hAnsi="仿宋" w:eastAsia="仿宋" w:cs="仿宋"/>
          <w:sz w:val="28"/>
          <w:szCs w:val="28"/>
        </w:rPr>
        <w:t>年9月13日</w:t>
      </w:r>
      <w:bookmarkEnd w:id="23"/>
    </w:p>
    <w:p>
      <w:pPr>
        <w:pStyle w:val="33"/>
        <w:tabs>
          <w:tab w:val="right" w:leader="dot" w:pos="8306"/>
        </w:tabs>
        <w:spacing w:line="440" w:lineRule="exact"/>
        <w:rPr>
          <w:rFonts w:hint="eastAsia" w:ascii="仿宋" w:hAnsi="仿宋" w:eastAsia="仿宋" w:cs="仿宋"/>
          <w:color w:val="0000FF"/>
          <w:kern w:val="2"/>
          <w:sz w:val="24"/>
          <w:szCs w:val="24"/>
        </w:rPr>
      </w:pP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TOC \o "1-3" \h \u </w:instrText>
      </w:r>
      <w:r>
        <w:rPr>
          <w:rFonts w:hint="eastAsia" w:ascii="仿宋" w:hAnsi="仿宋" w:eastAsia="仿宋" w:cs="仿宋"/>
          <w:color w:val="0000FF"/>
          <w:kern w:val="2"/>
          <w:sz w:val="24"/>
          <w:szCs w:val="24"/>
        </w:rPr>
        <w:fldChar w:fldCharType="separate"/>
      </w:r>
    </w:p>
    <w:p>
      <w:pPr>
        <w:pStyle w:val="33"/>
        <w:tabs>
          <w:tab w:val="right" w:leader="dot" w:pos="8306"/>
        </w:tabs>
        <w:spacing w:line="440" w:lineRule="exact"/>
        <w:rPr>
          <w:rFonts w:hint="eastAsia" w:ascii="仿宋" w:hAnsi="仿宋" w:eastAsia="仿宋" w:cs="仿宋"/>
          <w:color w:val="0000FF"/>
          <w:kern w:val="2"/>
          <w:sz w:val="24"/>
          <w:szCs w:val="24"/>
        </w:rPr>
      </w:pPr>
      <w:r>
        <w:fldChar w:fldCharType="begin"/>
      </w:r>
      <w:r>
        <w:instrText xml:space="preserve"> HYPERLINK \l "_Toc2788" </w:instrText>
      </w:r>
      <w:r>
        <w:fldChar w:fldCharType="separate"/>
      </w:r>
      <w:r>
        <w:rPr>
          <w:rFonts w:hint="eastAsia" w:ascii="仿宋" w:hAnsi="仿宋" w:eastAsia="仿宋" w:cs="仿宋"/>
          <w:color w:val="0000FF"/>
          <w:kern w:val="2"/>
          <w:sz w:val="24"/>
          <w:szCs w:val="24"/>
        </w:rPr>
        <w:t>第一部分 部门概况</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_Toc2788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1</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"_Toc5593" </w:instrText>
      </w:r>
      <w:r>
        <w:fldChar w:fldCharType="separate"/>
      </w:r>
      <w:r>
        <w:rPr>
          <w:rFonts w:hint="eastAsia" w:ascii="仿宋" w:hAnsi="仿宋" w:eastAsia="仿宋" w:cs="仿宋"/>
          <w:color w:val="0000FF"/>
          <w:kern w:val="2"/>
          <w:sz w:val="24"/>
          <w:szCs w:val="24"/>
        </w:rPr>
        <w:t>一、基本职能及主要工作</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_Toc5593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1</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Chars="0"/>
        <w:rPr>
          <w:rFonts w:hint="eastAsia" w:ascii="仿宋" w:hAnsi="仿宋" w:eastAsia="仿宋" w:cs="仿宋"/>
          <w:color w:val="0000FF"/>
          <w:kern w:val="2"/>
          <w:sz w:val="24"/>
          <w:szCs w:val="24"/>
        </w:rPr>
      </w:pPr>
      <w:r>
        <w:rPr>
          <w:rFonts w:hint="eastAsia" w:ascii="仿宋" w:hAnsi="仿宋" w:eastAsia="仿宋" w:cs="仿宋"/>
          <w:color w:val="0000FF"/>
          <w:kern w:val="2"/>
          <w:sz w:val="24"/>
          <w:szCs w:val="24"/>
        </w:rPr>
        <w:t xml:space="preserve">    </w:t>
      </w:r>
      <w:r>
        <w:fldChar w:fldCharType="begin"/>
      </w:r>
      <w:r>
        <w:instrText xml:space="preserve"> HYPERLINK \l "_Toc19694" </w:instrText>
      </w:r>
      <w:r>
        <w:fldChar w:fldCharType="separate"/>
      </w:r>
      <w:r>
        <w:rPr>
          <w:rFonts w:hint="eastAsia" w:ascii="仿宋" w:hAnsi="仿宋" w:eastAsia="仿宋" w:cs="仿宋"/>
          <w:color w:val="0000FF"/>
          <w:kern w:val="2"/>
          <w:sz w:val="24"/>
          <w:szCs w:val="24"/>
        </w:rPr>
        <w:t>二、机构设置</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_Toc19694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3</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3"/>
        <w:tabs>
          <w:tab w:val="right" w:leader="dot" w:pos="8306"/>
        </w:tabs>
        <w:spacing w:line="440" w:lineRule="exact"/>
        <w:rPr>
          <w:rFonts w:hint="eastAsia" w:ascii="仿宋" w:hAnsi="仿宋" w:eastAsia="仿宋" w:cs="仿宋"/>
          <w:color w:val="0000FF"/>
          <w:kern w:val="2"/>
          <w:sz w:val="24"/>
          <w:szCs w:val="24"/>
        </w:rPr>
      </w:pPr>
      <w:r>
        <w:fldChar w:fldCharType="begin"/>
      </w:r>
      <w:r>
        <w:instrText xml:space="preserve"> HYPERLINK \l "_Toc13208" </w:instrText>
      </w:r>
      <w:r>
        <w:fldChar w:fldCharType="separate"/>
      </w:r>
      <w:r>
        <w:rPr>
          <w:rFonts w:hint="eastAsia" w:ascii="仿宋" w:hAnsi="仿宋" w:eastAsia="仿宋" w:cs="仿宋"/>
          <w:color w:val="0000FF"/>
          <w:kern w:val="2"/>
          <w:sz w:val="24"/>
          <w:szCs w:val="24"/>
        </w:rPr>
        <w:t>第二部分 2020年度部门决算情况说明</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_Toc13208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3</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"_Toc2155" </w:instrText>
      </w:r>
      <w:r>
        <w:fldChar w:fldCharType="separate"/>
      </w:r>
      <w:r>
        <w:rPr>
          <w:rFonts w:hint="eastAsia" w:ascii="仿宋" w:hAnsi="仿宋" w:eastAsia="仿宋" w:cs="仿宋"/>
          <w:color w:val="0000FF"/>
          <w:kern w:val="2"/>
          <w:sz w:val="24"/>
          <w:szCs w:val="24"/>
        </w:rPr>
        <w:t>一、 收入支出决算总体情况说明</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_Toc2155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3</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"_Toc19564" </w:instrText>
      </w:r>
      <w:r>
        <w:fldChar w:fldCharType="separate"/>
      </w:r>
      <w:r>
        <w:rPr>
          <w:rFonts w:hint="eastAsia" w:ascii="仿宋" w:hAnsi="仿宋" w:eastAsia="仿宋" w:cs="仿宋"/>
          <w:color w:val="0000FF"/>
          <w:kern w:val="2"/>
          <w:sz w:val="24"/>
          <w:szCs w:val="24"/>
        </w:rPr>
        <w:t>二、 收入决算情况说明</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_Toc19564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4</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105" w:leftChars="50" w:firstLine="240" w:firstLineChars="100"/>
        <w:rPr>
          <w:rFonts w:hint="eastAsia" w:ascii="仿宋" w:hAnsi="仿宋" w:eastAsia="仿宋" w:cs="仿宋"/>
          <w:color w:val="0000FF"/>
          <w:kern w:val="2"/>
          <w:sz w:val="24"/>
          <w:szCs w:val="24"/>
        </w:rPr>
      </w:pPr>
      <w:r>
        <w:rPr>
          <w:rFonts w:hint="eastAsia" w:ascii="仿宋" w:hAnsi="仿宋" w:eastAsia="仿宋" w:cs="仿宋"/>
          <w:color w:val="0000FF"/>
          <w:kern w:val="2"/>
          <w:sz w:val="24"/>
          <w:szCs w:val="24"/>
        </w:rPr>
        <w:t xml:space="preserve"> </w:t>
      </w:r>
      <w:r>
        <w:fldChar w:fldCharType="begin"/>
      </w:r>
      <w:r>
        <w:instrText xml:space="preserve"> HYPERLINK \l "_Toc15318" </w:instrText>
      </w:r>
      <w:r>
        <w:fldChar w:fldCharType="separate"/>
      </w:r>
      <w:r>
        <w:rPr>
          <w:rFonts w:hint="eastAsia" w:ascii="仿宋" w:hAnsi="仿宋" w:eastAsia="仿宋" w:cs="仿宋"/>
          <w:color w:val="0000FF"/>
          <w:kern w:val="2"/>
          <w:sz w:val="24"/>
          <w:szCs w:val="24"/>
        </w:rPr>
        <w:t>三、 支出决算情况说明</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_Toc15318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5</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105" w:leftChars="50" w:firstLine="240" w:firstLineChars="100"/>
        <w:rPr>
          <w:rFonts w:hint="eastAsia" w:ascii="仿宋" w:hAnsi="仿宋" w:eastAsia="仿宋" w:cs="仿宋"/>
          <w:color w:val="0000FF"/>
          <w:kern w:val="2"/>
          <w:sz w:val="24"/>
          <w:szCs w:val="24"/>
        </w:rPr>
      </w:pPr>
      <w:r>
        <w:rPr>
          <w:rFonts w:hint="eastAsia" w:ascii="仿宋" w:hAnsi="仿宋" w:eastAsia="仿宋" w:cs="仿宋"/>
          <w:color w:val="0000FF"/>
          <w:kern w:val="2"/>
          <w:sz w:val="24"/>
          <w:szCs w:val="24"/>
        </w:rPr>
        <w:t xml:space="preserve"> </w:t>
      </w:r>
      <w:r>
        <w:fldChar w:fldCharType="begin"/>
      </w:r>
      <w:r>
        <w:instrText xml:space="preserve"> HYPERLINK \l "_Toc32757" </w:instrText>
      </w:r>
      <w:r>
        <w:fldChar w:fldCharType="separate"/>
      </w:r>
      <w:r>
        <w:rPr>
          <w:rFonts w:hint="eastAsia" w:ascii="仿宋" w:hAnsi="仿宋" w:eastAsia="仿宋" w:cs="仿宋"/>
          <w:color w:val="0000FF"/>
          <w:kern w:val="2"/>
          <w:sz w:val="24"/>
          <w:szCs w:val="24"/>
        </w:rPr>
        <w:t>四、财政拨款收入支出决算总体情况说明</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_Toc32757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6</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"_Toc4692" </w:instrText>
      </w:r>
      <w:r>
        <w:fldChar w:fldCharType="separate"/>
      </w:r>
      <w:r>
        <w:rPr>
          <w:rFonts w:hint="eastAsia" w:ascii="仿宋" w:hAnsi="仿宋" w:eastAsia="仿宋" w:cs="仿宋"/>
          <w:color w:val="0000FF"/>
          <w:kern w:val="2"/>
          <w:sz w:val="24"/>
          <w:szCs w:val="24"/>
        </w:rPr>
        <w:t>五、一般公共预算财政拨款支出决算情况说明</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_Toc4692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6</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Chars="0" w:firstLine="420" w:firstLineChars="200"/>
        <w:rPr>
          <w:rFonts w:hint="eastAsia" w:ascii="仿宋" w:hAnsi="仿宋" w:eastAsia="仿宋" w:cs="仿宋"/>
          <w:color w:val="0000FF"/>
          <w:kern w:val="2"/>
          <w:sz w:val="24"/>
          <w:szCs w:val="24"/>
        </w:rPr>
      </w:pPr>
      <w:r>
        <w:fldChar w:fldCharType="begin"/>
      </w:r>
      <w:r>
        <w:instrText xml:space="preserve"> HYPERLINK \l "_Toc30226" </w:instrText>
      </w:r>
      <w:r>
        <w:fldChar w:fldCharType="separate"/>
      </w:r>
      <w:r>
        <w:rPr>
          <w:rFonts w:hint="eastAsia" w:ascii="仿宋" w:hAnsi="仿宋" w:eastAsia="仿宋" w:cs="仿宋"/>
          <w:color w:val="0000FF"/>
          <w:kern w:val="2"/>
          <w:sz w:val="24"/>
          <w:szCs w:val="24"/>
        </w:rPr>
        <w:t>六、一般公共预算财政拨款基本支出决算情况说明</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_Toc30226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9</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"_Toc1436" </w:instrText>
      </w:r>
      <w:r>
        <w:fldChar w:fldCharType="separate"/>
      </w:r>
      <w:r>
        <w:rPr>
          <w:rFonts w:hint="eastAsia" w:ascii="仿宋" w:hAnsi="仿宋" w:eastAsia="仿宋" w:cs="仿宋"/>
          <w:color w:val="0000FF"/>
          <w:kern w:val="2"/>
          <w:sz w:val="24"/>
          <w:szCs w:val="24"/>
        </w:rPr>
        <w:t>七、“三公”经费财政拨款支出决算情况说明</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_Toc1436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10</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"_Toc23004" </w:instrText>
      </w:r>
      <w:r>
        <w:fldChar w:fldCharType="separate"/>
      </w:r>
      <w:r>
        <w:rPr>
          <w:rFonts w:hint="eastAsia" w:ascii="仿宋" w:hAnsi="仿宋" w:eastAsia="仿宋" w:cs="仿宋"/>
          <w:color w:val="0000FF"/>
          <w:kern w:val="2"/>
          <w:sz w:val="24"/>
          <w:szCs w:val="24"/>
        </w:rPr>
        <w:t>八、政府性基金预算支出决算情况说明</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_Toc23004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12</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"_Toc7171" </w:instrText>
      </w:r>
      <w:r>
        <w:fldChar w:fldCharType="separate"/>
      </w:r>
      <w:r>
        <w:rPr>
          <w:rFonts w:hint="eastAsia" w:ascii="仿宋" w:hAnsi="仿宋" w:eastAsia="仿宋" w:cs="仿宋"/>
          <w:color w:val="0000FF"/>
          <w:kern w:val="2"/>
          <w:sz w:val="24"/>
          <w:szCs w:val="24"/>
        </w:rPr>
        <w:t>九、 国有资本经营预算支出决算情况说明</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_Toc7171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12</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"_Toc19738" </w:instrText>
      </w:r>
      <w:r>
        <w:fldChar w:fldCharType="separate"/>
      </w:r>
      <w:r>
        <w:rPr>
          <w:rFonts w:hint="eastAsia" w:ascii="仿宋" w:hAnsi="仿宋" w:eastAsia="仿宋" w:cs="仿宋"/>
          <w:color w:val="0000FF"/>
          <w:kern w:val="2"/>
          <w:sz w:val="24"/>
          <w:szCs w:val="24"/>
        </w:rPr>
        <w:t>十、其他重要事项的情况说明</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_Toc19738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12</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3"/>
        <w:tabs>
          <w:tab w:val="right" w:leader="dot" w:pos="8306"/>
        </w:tabs>
        <w:spacing w:line="440" w:lineRule="exact"/>
        <w:rPr>
          <w:rFonts w:hint="eastAsia" w:ascii="仿宋" w:hAnsi="仿宋" w:eastAsia="仿宋" w:cs="仿宋"/>
          <w:color w:val="0000FF"/>
          <w:kern w:val="2"/>
          <w:sz w:val="24"/>
          <w:szCs w:val="24"/>
        </w:rPr>
      </w:pPr>
      <w:r>
        <w:fldChar w:fldCharType="begin"/>
      </w:r>
      <w:r>
        <w:instrText xml:space="preserve"> HYPERLINK \l "_Toc2657" </w:instrText>
      </w:r>
      <w:r>
        <w:fldChar w:fldCharType="separate"/>
      </w:r>
      <w:r>
        <w:rPr>
          <w:rFonts w:hint="eastAsia" w:ascii="仿宋" w:hAnsi="仿宋" w:eastAsia="仿宋" w:cs="仿宋"/>
          <w:color w:val="0000FF"/>
          <w:kern w:val="2"/>
          <w:sz w:val="24"/>
          <w:szCs w:val="24"/>
        </w:rPr>
        <w:t>第三部分 名词解释</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_Toc2657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24</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3"/>
        <w:tabs>
          <w:tab w:val="right" w:leader="dot" w:pos="8306"/>
        </w:tabs>
        <w:spacing w:line="440" w:lineRule="exact"/>
        <w:rPr>
          <w:rFonts w:hint="eastAsia" w:ascii="仿宋" w:hAnsi="仿宋" w:eastAsia="仿宋" w:cs="仿宋"/>
          <w:color w:val="0000FF"/>
          <w:kern w:val="2"/>
          <w:sz w:val="24"/>
          <w:szCs w:val="24"/>
        </w:rPr>
      </w:pPr>
      <w:r>
        <w:fldChar w:fldCharType="begin"/>
      </w:r>
      <w:r>
        <w:instrText xml:space="preserve"> HYPERLINK \l "_Toc16735" </w:instrText>
      </w:r>
      <w:r>
        <w:fldChar w:fldCharType="separate"/>
      </w:r>
      <w:r>
        <w:rPr>
          <w:rFonts w:hint="eastAsia" w:ascii="仿宋" w:hAnsi="仿宋" w:eastAsia="仿宋" w:cs="仿宋"/>
          <w:color w:val="0000FF"/>
          <w:kern w:val="2"/>
          <w:sz w:val="24"/>
          <w:szCs w:val="24"/>
        </w:rPr>
        <w:t>第四部分 附件</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_Toc16735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27</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"_Toc31323" </w:instrText>
      </w:r>
      <w:r>
        <w:fldChar w:fldCharType="separate"/>
      </w:r>
      <w:r>
        <w:rPr>
          <w:rFonts w:hint="eastAsia" w:ascii="仿宋" w:hAnsi="仿宋" w:eastAsia="仿宋" w:cs="仿宋"/>
          <w:color w:val="0000FF"/>
          <w:kern w:val="2"/>
          <w:sz w:val="24"/>
          <w:szCs w:val="24"/>
        </w:rPr>
        <w:t>附件1</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_Toc31323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27</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"_Toc23536" </w:instrText>
      </w:r>
      <w:r>
        <w:fldChar w:fldCharType="separate"/>
      </w:r>
      <w:r>
        <w:rPr>
          <w:rFonts w:hint="eastAsia" w:ascii="仿宋" w:hAnsi="仿宋" w:eastAsia="仿宋" w:cs="仿宋"/>
          <w:color w:val="0000FF"/>
          <w:kern w:val="2"/>
          <w:sz w:val="24"/>
          <w:szCs w:val="24"/>
        </w:rPr>
        <w:t>附件2</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_Toc23536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34</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3"/>
        <w:tabs>
          <w:tab w:val="right" w:leader="dot" w:pos="8306"/>
        </w:tabs>
        <w:spacing w:line="440" w:lineRule="exact"/>
        <w:rPr>
          <w:rFonts w:hint="eastAsia" w:ascii="仿宋" w:hAnsi="仿宋" w:eastAsia="仿宋" w:cs="仿宋"/>
          <w:color w:val="0000FF"/>
          <w:kern w:val="2"/>
          <w:sz w:val="24"/>
          <w:szCs w:val="24"/>
        </w:rPr>
      </w:pPr>
      <w:r>
        <w:fldChar w:fldCharType="begin"/>
      </w:r>
      <w:r>
        <w:instrText xml:space="preserve"> HYPERLINK \l "_Toc24128" </w:instrText>
      </w:r>
      <w:r>
        <w:fldChar w:fldCharType="separate"/>
      </w:r>
      <w:r>
        <w:rPr>
          <w:rFonts w:hint="eastAsia" w:ascii="仿宋" w:hAnsi="仿宋" w:eastAsia="仿宋" w:cs="仿宋"/>
          <w:color w:val="0000FF"/>
          <w:kern w:val="2"/>
          <w:sz w:val="24"/>
          <w:szCs w:val="24"/>
        </w:rPr>
        <w:t>第五部分 附表</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_Toc24128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48</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"_Toc15383" </w:instrText>
      </w:r>
      <w:r>
        <w:fldChar w:fldCharType="separate"/>
      </w:r>
      <w:r>
        <w:rPr>
          <w:rFonts w:hint="eastAsia" w:ascii="仿宋" w:hAnsi="仿宋" w:eastAsia="仿宋" w:cs="仿宋"/>
          <w:color w:val="0000FF"/>
          <w:kern w:val="2"/>
          <w:sz w:val="24"/>
          <w:szCs w:val="24"/>
        </w:rPr>
        <w:t>一、收入支出决算总表</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_Toc15383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48</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"_Toc9838" </w:instrText>
      </w:r>
      <w:r>
        <w:fldChar w:fldCharType="separate"/>
      </w:r>
      <w:r>
        <w:rPr>
          <w:rFonts w:hint="eastAsia" w:ascii="仿宋" w:hAnsi="仿宋" w:eastAsia="仿宋" w:cs="仿宋"/>
          <w:color w:val="0000FF"/>
          <w:kern w:val="2"/>
          <w:sz w:val="24"/>
          <w:szCs w:val="24"/>
        </w:rPr>
        <w:t>二、收入决算表</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_Toc9838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48</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"_Toc1349" </w:instrText>
      </w:r>
      <w:r>
        <w:fldChar w:fldCharType="separate"/>
      </w:r>
      <w:r>
        <w:rPr>
          <w:rFonts w:hint="eastAsia" w:ascii="仿宋" w:hAnsi="仿宋" w:eastAsia="仿宋" w:cs="仿宋"/>
          <w:color w:val="0000FF"/>
          <w:kern w:val="2"/>
          <w:sz w:val="24"/>
          <w:szCs w:val="24"/>
        </w:rPr>
        <w:t>三、支出决算表</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_Toc1349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48</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"_Toc21210" </w:instrText>
      </w:r>
      <w:r>
        <w:fldChar w:fldCharType="separate"/>
      </w:r>
      <w:r>
        <w:rPr>
          <w:rFonts w:hint="eastAsia" w:ascii="仿宋" w:hAnsi="仿宋" w:eastAsia="仿宋" w:cs="仿宋"/>
          <w:color w:val="0000FF"/>
          <w:kern w:val="2"/>
          <w:sz w:val="24"/>
          <w:szCs w:val="24"/>
        </w:rPr>
        <w:t>四、财政拨款收入支出决算总表</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_Toc21210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48</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"_Toc8384" </w:instrText>
      </w:r>
      <w:r>
        <w:fldChar w:fldCharType="separate"/>
      </w:r>
      <w:r>
        <w:rPr>
          <w:rFonts w:hint="eastAsia" w:ascii="仿宋" w:hAnsi="仿宋" w:eastAsia="仿宋" w:cs="仿宋"/>
          <w:color w:val="0000FF"/>
          <w:kern w:val="2"/>
          <w:sz w:val="24"/>
          <w:szCs w:val="24"/>
        </w:rPr>
        <w:t>五、财政拨款支出决算明细表</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_Toc8384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48</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"_Toc29770" </w:instrText>
      </w:r>
      <w:r>
        <w:fldChar w:fldCharType="separate"/>
      </w:r>
      <w:r>
        <w:rPr>
          <w:rFonts w:hint="eastAsia" w:ascii="仿宋" w:hAnsi="仿宋" w:eastAsia="仿宋" w:cs="仿宋"/>
          <w:color w:val="0000FF"/>
          <w:kern w:val="2"/>
          <w:sz w:val="24"/>
          <w:szCs w:val="24"/>
        </w:rPr>
        <w:t>六、一般公共预算财政拨款支出决算表</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_Toc29770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48</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"_Toc24167" </w:instrText>
      </w:r>
      <w:r>
        <w:fldChar w:fldCharType="separate"/>
      </w:r>
      <w:r>
        <w:rPr>
          <w:rFonts w:hint="eastAsia" w:ascii="仿宋" w:hAnsi="仿宋" w:eastAsia="仿宋" w:cs="仿宋"/>
          <w:color w:val="0000FF"/>
          <w:kern w:val="2"/>
          <w:sz w:val="24"/>
          <w:szCs w:val="24"/>
        </w:rPr>
        <w:t>七、一般公共预算财政拨款支出决算明细表</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_Toc24167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48</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"_Toc23697" </w:instrText>
      </w:r>
      <w:r>
        <w:fldChar w:fldCharType="separate"/>
      </w:r>
      <w:r>
        <w:rPr>
          <w:rFonts w:hint="eastAsia" w:ascii="仿宋" w:hAnsi="仿宋" w:eastAsia="仿宋" w:cs="仿宋"/>
          <w:color w:val="0000FF"/>
          <w:kern w:val="2"/>
          <w:sz w:val="24"/>
          <w:szCs w:val="24"/>
        </w:rPr>
        <w:t>八、一般公共预算财政拨款基本支出决算表</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_Toc23697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48</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sectPr>
          <w:footerReference r:id="rId5" w:type="first"/>
          <w:footerReference r:id="rId4" w:type="default"/>
          <w:pgSz w:w="11906" w:h="16838"/>
          <w:pgMar w:top="1440" w:right="1800" w:bottom="1440" w:left="1800" w:header="851" w:footer="992" w:gutter="0"/>
          <w:pgNumType w:start="1"/>
          <w:cols w:space="720" w:num="1"/>
          <w:titlePg/>
          <w:docGrid w:type="lines" w:linePitch="312" w:charSpace="0"/>
        </w:sectPr>
      </w:pP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"_Toc11396" </w:instrText>
      </w:r>
      <w:r>
        <w:fldChar w:fldCharType="separate"/>
      </w:r>
      <w:r>
        <w:rPr>
          <w:rFonts w:hint="eastAsia" w:ascii="仿宋" w:hAnsi="仿宋" w:eastAsia="仿宋" w:cs="仿宋"/>
          <w:color w:val="0000FF"/>
          <w:kern w:val="2"/>
          <w:sz w:val="24"/>
          <w:szCs w:val="24"/>
        </w:rPr>
        <w:t>九、一般公共预算财政拨款项目支出决算表</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_Toc11396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48</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"_Toc7557" </w:instrText>
      </w:r>
      <w:r>
        <w:fldChar w:fldCharType="separate"/>
      </w:r>
      <w:r>
        <w:rPr>
          <w:rFonts w:hint="eastAsia" w:ascii="仿宋" w:hAnsi="仿宋" w:eastAsia="仿宋" w:cs="仿宋"/>
          <w:color w:val="0000FF"/>
          <w:kern w:val="2"/>
          <w:sz w:val="24"/>
          <w:szCs w:val="24"/>
        </w:rPr>
        <w:t>十、一般公共预算财政拨款“三公”经费支出决算表</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_Toc7557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48</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"_Toc10087" </w:instrText>
      </w:r>
      <w:r>
        <w:fldChar w:fldCharType="separate"/>
      </w:r>
      <w:r>
        <w:rPr>
          <w:rFonts w:hint="eastAsia" w:ascii="仿宋" w:hAnsi="仿宋" w:eastAsia="仿宋" w:cs="仿宋"/>
          <w:color w:val="0000FF"/>
          <w:kern w:val="2"/>
          <w:sz w:val="24"/>
          <w:szCs w:val="24"/>
        </w:rPr>
        <w:t>十一、政府性基金预算财政拨款收入支出决算表</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_Toc10087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48</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fldChar w:fldCharType="begin"/>
      </w:r>
      <w:r>
        <w:instrText xml:space="preserve"> HYPERLINK \l "_Toc13506" </w:instrText>
      </w:r>
      <w:r>
        <w:fldChar w:fldCharType="separate"/>
      </w:r>
      <w:r>
        <w:rPr>
          <w:rFonts w:hint="eastAsia" w:ascii="仿宋" w:hAnsi="仿宋" w:eastAsia="仿宋" w:cs="仿宋"/>
          <w:color w:val="0000FF"/>
          <w:kern w:val="2"/>
          <w:sz w:val="24"/>
          <w:szCs w:val="24"/>
        </w:rPr>
        <w:t>十二、政府性基金预算财政拨款“三公”经费支出决算表</w:t>
      </w:r>
      <w:r>
        <w:rPr>
          <w:rFonts w:ascii="仿宋" w:hAnsi="仿宋" w:eastAsia="仿宋" w:cs="仿宋"/>
          <w:color w:val="0000FF"/>
          <w:kern w:val="2"/>
          <w:sz w:val="24"/>
          <w:szCs w:val="24"/>
        </w:rPr>
        <w:t>……………………</w:t>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_Toc13506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48</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ascii="仿宋" w:hAnsi="仿宋" w:eastAsia="仿宋" w:cs="仿宋"/>
          <w:color w:val="0000FF"/>
          <w:kern w:val="2"/>
          <w:sz w:val="24"/>
          <w:szCs w:val="24"/>
        </w:rPr>
      </w:pPr>
      <w:r>
        <w:fldChar w:fldCharType="begin"/>
      </w:r>
      <w:r>
        <w:instrText xml:space="preserve"> HYPERLINK \l "_Toc1692" </w:instrText>
      </w:r>
      <w:r>
        <w:fldChar w:fldCharType="separate"/>
      </w:r>
      <w:r>
        <w:rPr>
          <w:rFonts w:hint="eastAsia" w:ascii="仿宋" w:hAnsi="仿宋" w:eastAsia="仿宋" w:cs="仿宋"/>
          <w:color w:val="0000FF"/>
          <w:kern w:val="2"/>
          <w:sz w:val="24"/>
          <w:szCs w:val="24"/>
        </w:rPr>
        <w:t>十三、国有资本经营预算财政拨款收入支出决算表</w:t>
      </w:r>
      <w:r>
        <w:rPr>
          <w:rFonts w:hint="eastAsia" w:ascii="仿宋" w:hAnsi="仿宋" w:eastAsia="仿宋" w:cs="仿宋"/>
          <w:color w:val="0000FF"/>
          <w:kern w:val="2"/>
          <w:sz w:val="24"/>
          <w:szCs w:val="24"/>
        </w:rPr>
        <w:tab/>
      </w:r>
      <w:r>
        <w:rPr>
          <w:rFonts w:hint="eastAsia" w:ascii="仿宋" w:hAnsi="仿宋" w:eastAsia="仿宋" w:cs="仿宋"/>
          <w:color w:val="0000FF"/>
          <w:kern w:val="2"/>
          <w:sz w:val="24"/>
          <w:szCs w:val="24"/>
        </w:rPr>
        <w:fldChar w:fldCharType="begin"/>
      </w:r>
      <w:r>
        <w:rPr>
          <w:rFonts w:hint="eastAsia" w:ascii="仿宋" w:hAnsi="仿宋" w:eastAsia="仿宋" w:cs="仿宋"/>
          <w:color w:val="0000FF"/>
          <w:kern w:val="2"/>
          <w:sz w:val="24"/>
          <w:szCs w:val="24"/>
        </w:rPr>
        <w:instrText xml:space="preserve"> PAGEREF _Toc1692 </w:instrText>
      </w:r>
      <w:r>
        <w:rPr>
          <w:rFonts w:hint="eastAsia" w:ascii="仿宋" w:hAnsi="仿宋" w:eastAsia="仿宋" w:cs="仿宋"/>
          <w:color w:val="0000FF"/>
          <w:kern w:val="2"/>
          <w:sz w:val="24"/>
          <w:szCs w:val="24"/>
        </w:rPr>
        <w:fldChar w:fldCharType="separate"/>
      </w:r>
      <w:r>
        <w:rPr>
          <w:rFonts w:hint="eastAsia" w:ascii="仿宋" w:hAnsi="仿宋" w:eastAsia="仿宋" w:cs="仿宋"/>
          <w:color w:val="0000FF"/>
          <w:kern w:val="2"/>
          <w:sz w:val="24"/>
          <w:szCs w:val="24"/>
        </w:rPr>
        <w:t>48</w:t>
      </w:r>
      <w:r>
        <w:rPr>
          <w:rFonts w:hint="eastAsia" w:ascii="仿宋" w:hAnsi="仿宋" w:eastAsia="仿宋" w:cs="仿宋"/>
          <w:color w:val="0000FF"/>
          <w:kern w:val="2"/>
          <w:sz w:val="24"/>
          <w:szCs w:val="24"/>
        </w:rPr>
        <w:fldChar w:fldCharType="end"/>
      </w:r>
      <w:r>
        <w:rPr>
          <w:rFonts w:hint="eastAsia" w:ascii="仿宋" w:hAnsi="仿宋" w:eastAsia="仿宋" w:cs="仿宋"/>
          <w:color w:val="0000FF"/>
          <w:kern w:val="2"/>
          <w:sz w:val="24"/>
          <w:szCs w:val="24"/>
        </w:rPr>
        <w:fldChar w:fldCharType="end"/>
      </w:r>
    </w:p>
    <w:p>
      <w:pPr>
        <w:pStyle w:val="32"/>
        <w:tabs>
          <w:tab w:val="right" w:leader="dot" w:pos="8306"/>
        </w:tabs>
        <w:spacing w:line="440" w:lineRule="exact"/>
        <w:ind w:left="420"/>
        <w:rPr>
          <w:rFonts w:hint="eastAsia" w:ascii="仿宋" w:hAnsi="仿宋" w:eastAsia="仿宋" w:cs="仿宋"/>
          <w:color w:val="0000FF"/>
          <w:kern w:val="2"/>
          <w:sz w:val="24"/>
          <w:szCs w:val="24"/>
        </w:rPr>
      </w:pPr>
      <w:r>
        <w:rPr>
          <w:rFonts w:hint="eastAsia" w:ascii="仿宋" w:hAnsi="仿宋" w:eastAsia="仿宋" w:cs="仿宋"/>
          <w:color w:val="0000FF"/>
          <w:kern w:val="2"/>
          <w:sz w:val="24"/>
          <w:szCs w:val="24"/>
        </w:rPr>
        <w:t>十四、国有资本经营预算财政拨款支出决算表</w:t>
      </w:r>
      <w:r>
        <w:rPr>
          <w:rFonts w:ascii="仿宋" w:hAnsi="仿宋" w:eastAsia="仿宋" w:cs="仿宋"/>
          <w:color w:val="0000FF"/>
          <w:kern w:val="2"/>
          <w:sz w:val="24"/>
          <w:szCs w:val="24"/>
        </w:rPr>
        <w:t>………………………………48</w:t>
      </w:r>
    </w:p>
    <w:p>
      <w:pPr>
        <w:spacing w:line="440" w:lineRule="exact"/>
        <w:rPr>
          <w:rFonts w:hint="eastAsia" w:ascii="仿宋" w:hAnsi="仿宋" w:eastAsia="仿宋" w:cs="仿宋"/>
          <w:color w:val="0000FF"/>
          <w:sz w:val="24"/>
        </w:rPr>
      </w:pPr>
      <w:r>
        <w:rPr>
          <w:rFonts w:hint="eastAsia" w:ascii="仿宋" w:hAnsi="仿宋" w:eastAsia="仿宋" w:cs="仿宋"/>
          <w:color w:val="0000FF"/>
          <w:sz w:val="24"/>
        </w:rPr>
        <w:fldChar w:fldCharType="end"/>
      </w:r>
    </w:p>
    <w:p>
      <w:pPr>
        <w:pStyle w:val="4"/>
        <w:spacing w:line="440" w:lineRule="exact"/>
        <w:jc w:val="center"/>
        <w:rPr>
          <w:rFonts w:hint="eastAsia" w:ascii="仿宋" w:hAnsi="仿宋" w:eastAsia="仿宋" w:cs="仿宋"/>
          <w:color w:val="0000FF"/>
          <w:kern w:val="2"/>
          <w:sz w:val="24"/>
          <w:szCs w:val="24"/>
        </w:rPr>
        <w:sectPr>
          <w:footerReference r:id="rId7" w:type="first"/>
          <w:footerReference r:id="rId6" w:type="default"/>
          <w:pgSz w:w="11906" w:h="16838"/>
          <w:pgMar w:top="1440" w:right="1800" w:bottom="1440" w:left="1800" w:header="851" w:footer="992" w:gutter="0"/>
          <w:pgNumType w:start="1"/>
          <w:cols w:space="720" w:num="1"/>
          <w:titlePg/>
          <w:docGrid w:type="lines" w:linePitch="312" w:charSpace="0"/>
        </w:sectPr>
      </w:pPr>
      <w:bookmarkStart w:id="24" w:name="_Toc2788"/>
    </w:p>
    <w:p>
      <w:pPr>
        <w:pStyle w:val="4"/>
        <w:jc w:val="center"/>
        <w:rPr>
          <w:rStyle w:val="26"/>
          <w:rFonts w:ascii="黑体" w:hAnsi="黑体" w:eastAsia="黑体"/>
          <w:b/>
          <w:bCs w:val="0"/>
        </w:rPr>
      </w:pPr>
      <w:r>
        <w:rPr>
          <w:rFonts w:hAnsi="黑体" w:eastAsia="黑体"/>
          <w:b w:val="0"/>
        </w:rPr>
        <w:t>第一部分</w:t>
      </w:r>
      <w:r>
        <w:rPr>
          <w:rFonts w:eastAsia="黑体"/>
          <w:b w:val="0"/>
        </w:rPr>
        <w:t xml:space="preserve"> </w:t>
      </w:r>
      <w:r>
        <w:rPr>
          <w:rStyle w:val="20"/>
          <w:rFonts w:hAnsi="黑体" w:eastAsia="黑体"/>
          <w:b w:val="0"/>
          <w:bCs w:val="0"/>
        </w:rPr>
        <w:t>部门概况</w:t>
      </w:r>
      <w:bookmarkEnd w:id="22"/>
      <w:bookmarkEnd w:id="24"/>
    </w:p>
    <w:p>
      <w:pPr>
        <w:pStyle w:val="5"/>
        <w:rPr>
          <w:rStyle w:val="30"/>
          <w:rFonts w:ascii="仿宋" w:hAnsi="仿宋" w:eastAsia="仿宋"/>
          <w:b w:val="0"/>
          <w:bCs w:val="0"/>
        </w:rPr>
      </w:pPr>
      <w:bookmarkStart w:id="25" w:name="_Toc17255"/>
      <w:bookmarkStart w:id="26" w:name="_Toc21475"/>
      <w:bookmarkStart w:id="27" w:name="_Toc15396600"/>
      <w:bookmarkStart w:id="28" w:name="_Toc1283"/>
      <w:bookmarkStart w:id="29" w:name="_Toc15377197"/>
      <w:bookmarkStart w:id="30" w:name="_Toc5593"/>
      <w:r>
        <w:rPr>
          <w:rFonts w:hint="eastAsia" w:ascii="黑体" w:hAnsi="黑体" w:eastAsia="黑体"/>
          <w:b w:val="0"/>
          <w:color w:val="000000"/>
        </w:rPr>
        <w:t>一、基</w:t>
      </w:r>
      <w:r>
        <w:rPr>
          <w:rStyle w:val="30"/>
          <w:rFonts w:hint="eastAsia" w:ascii="黑体" w:hAnsi="黑体" w:eastAsia="黑体"/>
          <w:b w:val="0"/>
          <w:bCs w:val="0"/>
        </w:rPr>
        <w:t>本职能及主要工作</w:t>
      </w:r>
      <w:bookmarkEnd w:id="25"/>
      <w:bookmarkEnd w:id="26"/>
      <w:bookmarkEnd w:id="27"/>
      <w:bookmarkEnd w:id="28"/>
      <w:bookmarkEnd w:id="29"/>
      <w:bookmarkEnd w:id="30"/>
    </w:p>
    <w:p>
      <w:pPr>
        <w:snapToGrid w:val="0"/>
        <w:spacing w:line="520" w:lineRule="exact"/>
        <w:ind w:firstLine="640" w:firstLineChars="200"/>
        <w:rPr>
          <w:rFonts w:eastAsia="楷体_GB2312"/>
          <w:b/>
          <w:sz w:val="32"/>
          <w:szCs w:val="32"/>
        </w:rPr>
      </w:pPr>
      <w:bookmarkStart w:id="31" w:name="_Toc15378445"/>
      <w:bookmarkStart w:id="32" w:name="_Toc15377198"/>
      <w:r>
        <w:rPr>
          <w:rFonts w:hint="eastAsia" w:ascii="仿宋" w:hAnsi="仿宋" w:eastAsia="仿宋"/>
          <w:bCs/>
          <w:color w:val="000000"/>
          <w:sz w:val="32"/>
          <w:szCs w:val="32"/>
        </w:rPr>
        <w:t>（一）主要职能。</w:t>
      </w:r>
      <w:bookmarkEnd w:id="31"/>
      <w:bookmarkEnd w:id="32"/>
      <w:r>
        <w:rPr>
          <w:rFonts w:eastAsia="仿宋_GB2312"/>
          <w:sz w:val="32"/>
          <w:szCs w:val="32"/>
        </w:rPr>
        <w:t>负责胜利水库、沙坝田水库管理范围内的工程及设施设备管理；承担日常维修养护、运行管理、安全监测、供水调度具体工作；编制汛期调度运行计划、大坝安全应急预案、防汛抢险应急预案并按批准的水库调度规程组织实施；承担权限范围内的水生态保护具体工作。</w:t>
      </w:r>
    </w:p>
    <w:p>
      <w:pPr>
        <w:pStyle w:val="7"/>
        <w:adjustRightInd w:val="0"/>
        <w:snapToGrid w:val="0"/>
        <w:spacing w:before="93" w:line="600" w:lineRule="exact"/>
        <w:ind w:firstLine="640" w:firstLineChars="200"/>
        <w:outlineLvl w:val="2"/>
        <w:rPr>
          <w:rFonts w:hint="eastAsia" w:ascii="仿宋" w:hAnsi="仿宋" w:eastAsia="仿宋"/>
          <w:bCs/>
          <w:color w:val="000000"/>
          <w:sz w:val="32"/>
          <w:szCs w:val="32"/>
        </w:rPr>
      </w:pPr>
      <w:bookmarkStart w:id="33" w:name="_Toc19816"/>
      <w:bookmarkStart w:id="34" w:name="_Toc15377199"/>
      <w:bookmarkStart w:id="35" w:name="_Toc7383"/>
      <w:bookmarkStart w:id="36" w:name="_Toc15378446"/>
      <w:bookmarkStart w:id="37" w:name="_Toc30193"/>
      <w:r>
        <w:rPr>
          <w:rFonts w:hint="eastAsia" w:ascii="仿宋" w:hAnsi="仿宋" w:eastAsia="仿宋"/>
          <w:bCs/>
          <w:color w:val="000000"/>
          <w:sz w:val="32"/>
          <w:szCs w:val="32"/>
        </w:rPr>
        <w:t>（二）</w:t>
      </w:r>
      <w:r>
        <w:rPr>
          <w:rFonts w:ascii="仿宋" w:hAnsi="仿宋" w:eastAsia="仿宋"/>
          <w:bCs/>
          <w:color w:val="000000"/>
          <w:sz w:val="32"/>
          <w:szCs w:val="32"/>
        </w:rPr>
        <w:t>2020</w:t>
      </w:r>
      <w:r>
        <w:rPr>
          <w:rFonts w:hint="eastAsia" w:ascii="仿宋" w:hAnsi="仿宋" w:eastAsia="仿宋"/>
          <w:bCs/>
          <w:color w:val="000000"/>
          <w:sz w:val="32"/>
          <w:szCs w:val="32"/>
        </w:rPr>
        <w:t>年重点工作完成情况。</w:t>
      </w:r>
      <w:bookmarkEnd w:id="33"/>
      <w:bookmarkEnd w:id="34"/>
      <w:bookmarkEnd w:id="35"/>
      <w:bookmarkEnd w:id="36"/>
      <w:bookmarkEnd w:id="37"/>
    </w:p>
    <w:p>
      <w:pPr>
        <w:snapToGrid w:val="0"/>
        <w:spacing w:line="520" w:lineRule="exact"/>
        <w:ind w:firstLine="640" w:firstLineChars="200"/>
        <w:rPr>
          <w:rFonts w:eastAsia="仿宋_GB2312"/>
          <w:sz w:val="32"/>
          <w:szCs w:val="32"/>
        </w:rPr>
      </w:pPr>
      <w:r>
        <w:rPr>
          <w:rFonts w:eastAsia="仿宋_GB2312"/>
          <w:sz w:val="32"/>
          <w:szCs w:val="32"/>
        </w:rPr>
        <w:t>1</w:t>
      </w:r>
      <w:r>
        <w:rPr>
          <w:rFonts w:hint="eastAsia" w:eastAsia="仿宋_GB2312"/>
          <w:sz w:val="32"/>
          <w:szCs w:val="32"/>
        </w:rPr>
        <w:t>.</w:t>
      </w:r>
      <w:r>
        <w:rPr>
          <w:rFonts w:eastAsia="仿宋_GB2312"/>
          <w:sz w:val="32"/>
          <w:szCs w:val="32"/>
        </w:rPr>
        <w:t>精心组织、全力推进攀西科技城生态供水工程。攀西科技城生态供水工程是我市的抗旱应急工程。工程于4月27日开工建设，在确保工程质量和施工安全的前提下，参建各方加班加点昼夜奋战全力推进工程建设，仅用9天时间完成项目主体工程155米直径600毫米管道的铺设安装,比计划工期提前了21天,如期实现了向攀西科技城生态补水的目标。</w:t>
      </w:r>
    </w:p>
    <w:p>
      <w:pPr>
        <w:snapToGrid w:val="0"/>
        <w:spacing w:line="520" w:lineRule="exact"/>
        <w:ind w:firstLine="640" w:firstLineChars="200"/>
        <w:rPr>
          <w:rFonts w:eastAsia="仿宋_GB2312"/>
          <w:sz w:val="32"/>
          <w:szCs w:val="32"/>
        </w:rPr>
      </w:pPr>
      <w:r>
        <w:rPr>
          <w:rFonts w:eastAsia="仿宋_GB2312"/>
          <w:sz w:val="32"/>
          <w:szCs w:val="32"/>
        </w:rPr>
        <w:t>2</w:t>
      </w:r>
      <w:r>
        <w:rPr>
          <w:rFonts w:hint="eastAsia" w:eastAsia="仿宋_GB2312"/>
          <w:sz w:val="32"/>
          <w:szCs w:val="32"/>
        </w:rPr>
        <w:t>.</w:t>
      </w:r>
      <w:r>
        <w:rPr>
          <w:rFonts w:eastAsia="仿宋_GB2312"/>
          <w:sz w:val="32"/>
          <w:szCs w:val="32"/>
        </w:rPr>
        <w:t>开展胜利水库、沙坝田水库大坝安全监测10次，年度检查和特殊检查共19次，节前安全检查4次，汛前、汛中安全检查3次，库区巡视检查32次，日常巡视检查每天1次。并及时分析工况、做好记录，水库动态监管预警系统APP全年巡查工作完成率100%。二是工程工况观测到位。定期对大坝、放水塔、量水堰、浸润线观测孔进行观测，做到测量数据记录准确无误，测量数据比对无异常，确保枢纽工程安全平稳运行。三是设施设备维护到位。对枢纽工程区大坝、放水塔和放空塔、机电设备、闸门及启闭设备、电力设施、附属设施定期开展巡查。发现问题，及时更换和保养，保证设施设备正常运转</w:t>
      </w:r>
    </w:p>
    <w:p>
      <w:pPr>
        <w:snapToGrid w:val="0"/>
        <w:spacing w:line="520" w:lineRule="exact"/>
        <w:ind w:firstLine="640" w:firstLineChars="200"/>
        <w:rPr>
          <w:rFonts w:eastAsia="仿宋_GB2312"/>
          <w:sz w:val="32"/>
          <w:szCs w:val="32"/>
        </w:rPr>
      </w:pPr>
      <w:r>
        <w:rPr>
          <w:rFonts w:eastAsia="仿宋_GB2312"/>
          <w:sz w:val="32"/>
          <w:szCs w:val="32"/>
        </w:rPr>
        <w:t>3</w:t>
      </w:r>
      <w:r>
        <w:rPr>
          <w:rFonts w:hint="eastAsia" w:eastAsia="仿宋_GB2312"/>
          <w:sz w:val="32"/>
          <w:szCs w:val="32"/>
        </w:rPr>
        <w:t>.</w:t>
      </w:r>
      <w:r>
        <w:rPr>
          <w:rFonts w:eastAsia="仿宋_GB2312"/>
          <w:sz w:val="32"/>
          <w:szCs w:val="32"/>
        </w:rPr>
        <w:t>分别修订完善了胜利水库、沙坝田水库2020年度《大坝安全管理应急预案》、《防汛抢险应急案》、《调度规程》，《调度运用计划》、《防洪度汛方案》，公示了“五个责任人”，强化组织领导，分解细化责任，科学调洪蓄水，确保工程安全</w:t>
      </w:r>
    </w:p>
    <w:p>
      <w:pPr>
        <w:snapToGrid w:val="0"/>
        <w:spacing w:line="520" w:lineRule="exact"/>
        <w:ind w:firstLine="640" w:firstLineChars="200"/>
        <w:rPr>
          <w:rFonts w:eastAsia="仿宋_GB2312"/>
          <w:sz w:val="32"/>
          <w:szCs w:val="32"/>
        </w:rPr>
      </w:pPr>
      <w:r>
        <w:rPr>
          <w:rFonts w:eastAsia="仿宋_GB2312"/>
          <w:sz w:val="32"/>
          <w:szCs w:val="32"/>
        </w:rPr>
        <w:t>4</w:t>
      </w:r>
      <w:r>
        <w:rPr>
          <w:rFonts w:hint="eastAsia" w:eastAsia="仿宋_GB2312"/>
          <w:sz w:val="32"/>
          <w:szCs w:val="32"/>
        </w:rPr>
        <w:t>.</w:t>
      </w:r>
      <w:r>
        <w:rPr>
          <w:rFonts w:eastAsia="仿宋_GB2312"/>
          <w:sz w:val="32"/>
          <w:szCs w:val="32"/>
        </w:rPr>
        <w:t>2020年度，大田片区降雨不集中，胜利水库蓄水仅仅1080万方，蓄水严重不足。为保障今冬明春灌区农业用水，我们进一步强化蓄水保水工作。一是严格执行供水计划，科学调度、合理使用水资源；二是采取分时分段、统筹协调、前后兼顾的供水举措，共分15次向灌区7个乡(镇)供水695.4万立方米，覆盖灌面10万余亩。向大河生态补水214万立方米；三是实现了胜利水库、沙坝田水库的联调联动，通过沙坝田水库向胜利水库输水300万立方米，为实施科学合理调度、灌区供水服务、农户增产增收，提供了坚实的水利支撑和保障。预计到年底，胜利水库蓄水1100万立方米，沙坝田水库蓄水320万立方米。</w:t>
      </w:r>
    </w:p>
    <w:p>
      <w:pPr>
        <w:ind w:firstLine="640" w:firstLineChars="200"/>
        <w:rPr>
          <w:rFonts w:eastAsia="仿宋_GB2312"/>
          <w:sz w:val="32"/>
          <w:szCs w:val="32"/>
        </w:rPr>
      </w:pPr>
      <w:r>
        <w:rPr>
          <w:rFonts w:eastAsia="仿宋_GB2312"/>
          <w:sz w:val="32"/>
          <w:szCs w:val="32"/>
        </w:rPr>
        <w:t>5</w:t>
      </w:r>
      <w:r>
        <w:rPr>
          <w:rFonts w:hint="eastAsia" w:eastAsia="仿宋_GB2312"/>
          <w:sz w:val="32"/>
          <w:szCs w:val="32"/>
        </w:rPr>
        <w:t>.</w:t>
      </w:r>
      <w:r>
        <w:rPr>
          <w:rFonts w:eastAsia="仿宋_GB2312"/>
          <w:sz w:val="32"/>
          <w:szCs w:val="32"/>
        </w:rPr>
        <w:t>全年完成项目预算资金736.72万元， 一是投资180余万元实施胜利干渠抗旱工程节水改造项目。工程施工过程中，克服点多、线长、涉及村社多、施工组织难度大等困难，加强沟通协调，新建具有调节蓄水能力的水池、铺设管道、安装闸阀、新建管理房等设施设备，保障渠道运行安全。二是投资225万元实施沙坝田水库除险加固工程。工程于2020年8月17日开工建设，已完成大坝止水带更换、监测钢栈桥建设、后坝坡坝面整治。完成工程投资110万元，预计年内完成。三是投资9.5万元完成胜大引水渠1号隧洞清淤工程，工程清淤总量1.7立方米，确保了两座水库联调联供顺利实施。四是投资27.86万元完成胜利水库水资源涵养林建设，栽种各类林木5200株，成活率达到93%。五是有序推进胜利水库大坝安全鉴定工作，目前已完成了胜利水库大坝安全评价报告的编制工作，并已组织专家进行了审查。</w:t>
      </w:r>
    </w:p>
    <w:p>
      <w:pPr>
        <w:ind w:firstLine="640" w:firstLineChars="200"/>
      </w:pPr>
      <w:r>
        <w:rPr>
          <w:rFonts w:eastAsia="仿宋_GB2312"/>
          <w:sz w:val="32"/>
          <w:szCs w:val="32"/>
        </w:rPr>
        <w:t>6</w:t>
      </w:r>
      <w:r>
        <w:rPr>
          <w:rFonts w:hint="eastAsia" w:eastAsia="仿宋_GB2312"/>
          <w:sz w:val="32"/>
          <w:szCs w:val="32"/>
        </w:rPr>
        <w:t>.</w:t>
      </w:r>
      <w:r>
        <w:rPr>
          <w:rFonts w:eastAsia="仿宋_GB2312"/>
          <w:sz w:val="32"/>
          <w:szCs w:val="32"/>
        </w:rPr>
        <w:t>水环境保护成效明显。一是会同仁和区环保局、大田镇政府等相关部门，建立了水源地保护和联合巡查机制。每年组织相关部门开展2次以上联合巡察，依法打击违规向库区排放生产、生活污水、乱占乱建、违法采砂、破坏隔离设施、非法钓鱼等违法行为，二是加大库区周边环境治理。及时对库周垃圾进行清理，清理库区漂浮物25吨。及时新建、更换隔离防护网、警示标牌等设施，确保库区水清、岸绿、景美，水库水质长期保持三类水质以上</w:t>
      </w:r>
      <w:r>
        <w:t>。</w:t>
      </w:r>
    </w:p>
    <w:p>
      <w:pPr>
        <w:pStyle w:val="5"/>
        <w:rPr>
          <w:rStyle w:val="30"/>
          <w:b w:val="0"/>
          <w:bCs w:val="0"/>
        </w:rPr>
      </w:pPr>
      <w:bookmarkStart w:id="38" w:name="_Toc13728"/>
      <w:bookmarkStart w:id="39" w:name="_Toc15377200"/>
      <w:bookmarkStart w:id="40" w:name="_Toc15396601"/>
      <w:bookmarkStart w:id="41" w:name="_Toc23563"/>
      <w:bookmarkStart w:id="42" w:name="_Toc19694"/>
      <w:bookmarkStart w:id="43" w:name="_Toc23825"/>
      <w:r>
        <w:rPr>
          <w:rFonts w:hint="eastAsia" w:ascii="黑体" w:eastAsia="黑体"/>
          <w:b w:val="0"/>
          <w:color w:val="000000"/>
        </w:rPr>
        <w:t>二、</w:t>
      </w:r>
      <w:r>
        <w:rPr>
          <w:rFonts w:hint="eastAsia" w:ascii="黑体" w:hAnsi="黑体" w:eastAsia="黑体"/>
          <w:b w:val="0"/>
          <w:color w:val="000000"/>
        </w:rPr>
        <w:t>机</w:t>
      </w:r>
      <w:r>
        <w:rPr>
          <w:rStyle w:val="30"/>
          <w:rFonts w:hint="eastAsia" w:ascii="黑体" w:hAnsi="黑体" w:eastAsia="黑体"/>
          <w:b w:val="0"/>
          <w:bCs w:val="0"/>
        </w:rPr>
        <w:t>构设置</w:t>
      </w:r>
      <w:bookmarkEnd w:id="38"/>
      <w:bookmarkEnd w:id="39"/>
      <w:bookmarkEnd w:id="40"/>
      <w:bookmarkEnd w:id="41"/>
      <w:bookmarkEnd w:id="42"/>
      <w:bookmarkEnd w:id="43"/>
    </w:p>
    <w:p>
      <w:pPr>
        <w:ind w:firstLine="800" w:firstLineChars="250"/>
        <w:rPr>
          <w:rFonts w:eastAsia="仿宋_GB2312"/>
          <w:sz w:val="32"/>
          <w:szCs w:val="32"/>
        </w:rPr>
      </w:pPr>
      <w:r>
        <w:rPr>
          <w:rFonts w:hint="eastAsia" w:eastAsia="仿宋_GB2312"/>
          <w:sz w:val="32"/>
          <w:szCs w:val="32"/>
        </w:rPr>
        <w:t>我单位</w:t>
      </w:r>
      <w:r>
        <w:rPr>
          <w:rFonts w:eastAsia="仿宋_GB2312"/>
          <w:sz w:val="32"/>
          <w:szCs w:val="32"/>
        </w:rPr>
        <w:t>为市水利局下属公益二类事业单位</w:t>
      </w:r>
      <w:r>
        <w:rPr>
          <w:rFonts w:hint="eastAsia" w:eastAsia="仿宋_GB2312"/>
          <w:sz w:val="32"/>
          <w:szCs w:val="32"/>
        </w:rPr>
        <w:t>。无下属二级预算单位。</w:t>
      </w:r>
    </w:p>
    <w:p>
      <w:pPr>
        <w:pStyle w:val="4"/>
        <w:ind w:right="440"/>
        <w:jc w:val="right"/>
        <w:rPr>
          <w:rFonts w:hint="eastAsia" w:ascii="黑体" w:hAnsi="黑体" w:eastAsia="黑体"/>
          <w:b w:val="0"/>
          <w:color w:val="000000"/>
        </w:rPr>
      </w:pPr>
      <w:bookmarkStart w:id="44" w:name="_Toc23789"/>
      <w:bookmarkStart w:id="45" w:name="_Toc15377204"/>
      <w:bookmarkStart w:id="46" w:name="_Toc14900"/>
      <w:bookmarkStart w:id="47" w:name="_Toc15396602"/>
      <w:bookmarkStart w:id="48" w:name="_Toc8005"/>
    </w:p>
    <w:p>
      <w:pPr>
        <w:rPr>
          <w:rFonts w:hint="eastAsia" w:ascii="黑体" w:hAnsi="黑体" w:eastAsia="黑体"/>
          <w:b w:val="0"/>
          <w:color w:val="000000"/>
        </w:rPr>
      </w:pPr>
    </w:p>
    <w:p>
      <w:pPr>
        <w:pStyle w:val="2"/>
        <w:rPr>
          <w:rFonts w:hint="eastAsia"/>
        </w:rPr>
      </w:pPr>
    </w:p>
    <w:p>
      <w:pPr>
        <w:pStyle w:val="4"/>
        <w:ind w:right="440"/>
        <w:jc w:val="right"/>
        <w:rPr>
          <w:rStyle w:val="26"/>
          <w:rFonts w:ascii="黑体" w:hAnsi="黑体" w:eastAsia="黑体"/>
          <w:b w:val="0"/>
          <w:bCs w:val="0"/>
        </w:rPr>
      </w:pPr>
      <w:bookmarkStart w:id="49" w:name="_Toc13208"/>
      <w:r>
        <w:rPr>
          <w:rFonts w:hint="eastAsia" w:ascii="黑体" w:hAnsi="黑体" w:eastAsia="黑体"/>
          <w:b w:val="0"/>
          <w:color w:val="000000"/>
        </w:rPr>
        <w:t>第二部分</w:t>
      </w:r>
      <w:r>
        <w:rPr>
          <w:rFonts w:ascii="黑体" w:hAnsi="黑体" w:eastAsia="黑体"/>
          <w:color w:val="000000"/>
        </w:rPr>
        <w:t xml:space="preserve"> </w:t>
      </w:r>
      <w:r>
        <w:rPr>
          <w:rStyle w:val="26"/>
          <w:rFonts w:ascii="黑体" w:hAnsi="黑体" w:eastAsia="黑体"/>
          <w:b w:val="0"/>
          <w:bCs w:val="0"/>
        </w:rPr>
        <w:t>2020</w:t>
      </w:r>
      <w:r>
        <w:rPr>
          <w:rStyle w:val="26"/>
          <w:rFonts w:hint="eastAsia" w:ascii="黑体" w:hAnsi="黑体" w:eastAsia="黑体"/>
          <w:b w:val="0"/>
          <w:bCs w:val="0"/>
        </w:rPr>
        <w:t>年度部门决算情况说明</w:t>
      </w:r>
      <w:bookmarkEnd w:id="44"/>
      <w:bookmarkEnd w:id="45"/>
      <w:bookmarkEnd w:id="46"/>
      <w:bookmarkEnd w:id="47"/>
      <w:bookmarkEnd w:id="48"/>
      <w:bookmarkEnd w:id="49"/>
    </w:p>
    <w:p/>
    <w:p>
      <w:pPr>
        <w:pStyle w:val="36"/>
        <w:numPr>
          <w:ilvl w:val="0"/>
          <w:numId w:val="1"/>
        </w:numPr>
        <w:spacing w:line="600" w:lineRule="exact"/>
        <w:ind w:firstLineChars="0"/>
        <w:outlineLvl w:val="1"/>
        <w:rPr>
          <w:rStyle w:val="30"/>
          <w:rFonts w:ascii="黑体" w:hAnsi="黑体" w:eastAsia="黑体"/>
          <w:b w:val="0"/>
        </w:rPr>
      </w:pPr>
      <w:bookmarkStart w:id="50" w:name="_Toc15377205"/>
      <w:bookmarkStart w:id="51" w:name="_Toc16051"/>
      <w:bookmarkStart w:id="52" w:name="_Toc32517"/>
      <w:bookmarkStart w:id="53" w:name="_Toc15396603"/>
      <w:bookmarkStart w:id="54" w:name="_Toc2155"/>
      <w:bookmarkStart w:id="55" w:name="_Toc29386"/>
      <w:r>
        <w:rPr>
          <w:rFonts w:hint="eastAsia" w:ascii="黑体" w:hAnsi="黑体" w:eastAsia="黑体"/>
          <w:color w:val="000000"/>
          <w:sz w:val="32"/>
          <w:szCs w:val="32"/>
        </w:rPr>
        <w:t>收</w:t>
      </w:r>
      <w:r>
        <w:rPr>
          <w:rStyle w:val="30"/>
          <w:rFonts w:hint="eastAsia" w:ascii="黑体" w:hAnsi="黑体" w:eastAsia="黑体"/>
          <w:b w:val="0"/>
        </w:rPr>
        <w:t>入支出决算总体情况说明</w:t>
      </w:r>
      <w:bookmarkEnd w:id="50"/>
      <w:bookmarkEnd w:id="51"/>
      <w:bookmarkEnd w:id="52"/>
      <w:bookmarkEnd w:id="53"/>
      <w:bookmarkEnd w:id="54"/>
      <w:bookmarkEnd w:id="55"/>
    </w:p>
    <w:p>
      <w:pPr>
        <w:spacing w:line="600" w:lineRule="exact"/>
        <w:ind w:firstLine="640" w:firstLineChars="200"/>
        <w:rPr>
          <w:rFonts w:ascii="仿宋" w:hAnsi="仿宋" w:eastAsia="仿宋"/>
          <w:color w:val="000000"/>
          <w:sz w:val="32"/>
          <w:szCs w:val="32"/>
        </w:rPr>
      </w:pPr>
      <w:r>
        <w:rPr>
          <w:rFonts w:ascii="仿宋" w:hAnsi="仿宋" w:eastAsia="仿宋"/>
          <w:color w:val="000000"/>
          <w:sz w:val="32"/>
          <w:szCs w:val="32"/>
        </w:rPr>
        <w:t>2020</w:t>
      </w:r>
      <w:r>
        <w:rPr>
          <w:rFonts w:hint="eastAsia" w:ascii="仿宋" w:hAnsi="仿宋" w:eastAsia="仿宋"/>
          <w:color w:val="000000"/>
          <w:sz w:val="32"/>
          <w:szCs w:val="32"/>
        </w:rPr>
        <w:t>年度收、支总计1246.84万元。与</w:t>
      </w:r>
      <w:r>
        <w:rPr>
          <w:rFonts w:ascii="仿宋" w:hAnsi="仿宋" w:eastAsia="仿宋"/>
          <w:color w:val="000000"/>
          <w:sz w:val="32"/>
          <w:szCs w:val="32"/>
        </w:rPr>
        <w:t>2019</w:t>
      </w:r>
      <w:r>
        <w:rPr>
          <w:rFonts w:hint="eastAsia" w:ascii="仿宋" w:hAnsi="仿宋" w:eastAsia="仿宋"/>
          <w:color w:val="000000"/>
          <w:sz w:val="32"/>
          <w:szCs w:val="32"/>
        </w:rPr>
        <w:t>年相比，收、支总计增加260.79万元，增长 26.45</w:t>
      </w:r>
      <w:r>
        <w:rPr>
          <w:rFonts w:ascii="仿宋" w:hAnsi="仿宋" w:eastAsia="仿宋"/>
          <w:color w:val="000000"/>
          <w:sz w:val="32"/>
          <w:szCs w:val="32"/>
        </w:rPr>
        <w:t>%</w:t>
      </w:r>
      <w:r>
        <w:rPr>
          <w:rFonts w:hint="eastAsia" w:ascii="仿宋" w:hAnsi="仿宋" w:eastAsia="仿宋"/>
          <w:color w:val="000000"/>
          <w:sz w:val="32"/>
          <w:szCs w:val="32"/>
        </w:rPr>
        <w:t>。主要变动原因是2019年年末下达的项目资金在2020年完成。</w:t>
      </w: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（图</w:t>
      </w:r>
      <w:r>
        <w:rPr>
          <w:rFonts w:ascii="仿宋" w:hAnsi="仿宋" w:eastAsia="仿宋"/>
          <w:color w:val="000000"/>
          <w:sz w:val="32"/>
          <w:szCs w:val="32"/>
        </w:rPr>
        <w:t>1</w:t>
      </w:r>
      <w:r>
        <w:rPr>
          <w:rFonts w:hint="eastAsia" w:ascii="仿宋" w:hAnsi="仿宋" w:eastAsia="仿宋"/>
          <w:color w:val="000000"/>
          <w:sz w:val="32"/>
          <w:szCs w:val="32"/>
        </w:rPr>
        <w:t>：收、支决算总计变动情况图）（柱状图）</w:t>
      </w:r>
    </w:p>
    <w:p>
      <w:pPr>
        <w:spacing w:line="720" w:lineRule="auto"/>
        <w:ind w:firstLine="640" w:firstLineChars="200"/>
        <w:jc w:val="left"/>
        <w:rPr>
          <w:rFonts w:ascii="仿宋_GB2312" w:eastAsia="仿宋_GB2312"/>
          <w:color w:val="000000"/>
          <w:sz w:val="32"/>
          <w:szCs w:val="32"/>
        </w:rPr>
      </w:pPr>
      <w:r>
        <w:rPr>
          <w:rFonts w:hint="eastAsia" w:ascii="仿宋_GB2312" w:eastAsia="仿宋_GB2312"/>
          <w:color w:val="000000"/>
          <w:sz w:val="32"/>
          <w:szCs w:val="32"/>
        </w:rPr>
        <w:drawing>
          <wp:inline distT="0" distB="0" distL="0" distR="0">
            <wp:extent cx="5267325" cy="3038475"/>
            <wp:effectExtent l="0" t="0" r="0" b="0"/>
            <wp:docPr id="9" name="图片 1" descr="微信图片_2021101109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微信图片_20211011093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7325" cy="3038475"/>
                    </a:xfrm>
                    <a:prstGeom prst="rect">
                      <a:avLst/>
                    </a:prstGeom>
                    <a:noFill/>
                    <a:ln>
                      <a:noFill/>
                    </a:ln>
                  </pic:spPr>
                </pic:pic>
              </a:graphicData>
            </a:graphic>
          </wp:inline>
        </w:drawing>
      </w:r>
    </w:p>
    <w:p>
      <w:pPr>
        <w:pStyle w:val="36"/>
        <w:numPr>
          <w:ilvl w:val="0"/>
          <w:numId w:val="1"/>
        </w:numPr>
        <w:spacing w:line="600" w:lineRule="exact"/>
        <w:ind w:firstLineChars="0"/>
        <w:outlineLvl w:val="1"/>
        <w:rPr>
          <w:rStyle w:val="30"/>
          <w:rFonts w:ascii="黑体" w:hAnsi="黑体" w:eastAsia="黑体"/>
          <w:b w:val="0"/>
        </w:rPr>
      </w:pPr>
      <w:bookmarkStart w:id="56" w:name="_Toc10328"/>
      <w:bookmarkStart w:id="57" w:name="_Toc19564"/>
      <w:bookmarkStart w:id="58" w:name="_Toc15396604"/>
      <w:bookmarkStart w:id="59" w:name="_Toc15377206"/>
      <w:bookmarkStart w:id="60" w:name="_Toc15058"/>
      <w:bookmarkStart w:id="61" w:name="_Toc28805"/>
      <w:r>
        <w:rPr>
          <w:rFonts w:hint="eastAsia" w:ascii="黑体" w:hAnsi="黑体" w:eastAsia="黑体"/>
          <w:color w:val="000000"/>
          <w:sz w:val="32"/>
          <w:szCs w:val="32"/>
        </w:rPr>
        <w:t>收</w:t>
      </w:r>
      <w:r>
        <w:rPr>
          <w:rStyle w:val="30"/>
          <w:rFonts w:hint="eastAsia" w:ascii="黑体" w:hAnsi="黑体" w:eastAsia="黑体"/>
          <w:b w:val="0"/>
        </w:rPr>
        <w:t>入决算情况说明</w:t>
      </w:r>
      <w:bookmarkEnd w:id="56"/>
      <w:bookmarkEnd w:id="57"/>
      <w:bookmarkEnd w:id="58"/>
      <w:bookmarkEnd w:id="59"/>
      <w:bookmarkEnd w:id="60"/>
      <w:bookmarkEnd w:id="61"/>
    </w:p>
    <w:p>
      <w:pPr>
        <w:spacing w:line="600" w:lineRule="exact"/>
        <w:ind w:firstLine="640" w:firstLineChars="200"/>
        <w:outlineLvl w:val="1"/>
        <w:rPr>
          <w:rFonts w:ascii="仿宋" w:hAnsi="仿宋" w:eastAsia="仿宋"/>
          <w:color w:val="000000"/>
          <w:sz w:val="32"/>
          <w:szCs w:val="32"/>
        </w:rPr>
      </w:pPr>
      <w:bookmarkStart w:id="62" w:name="_Toc2158"/>
      <w:bookmarkStart w:id="63" w:name="_Toc25134"/>
      <w:bookmarkStart w:id="64" w:name="_Toc4848"/>
      <w:bookmarkStart w:id="65" w:name="_Toc19421"/>
      <w:r>
        <w:rPr>
          <w:rFonts w:ascii="仿宋" w:hAnsi="仿宋" w:eastAsia="仿宋"/>
          <w:color w:val="000000"/>
          <w:sz w:val="32"/>
          <w:szCs w:val="32"/>
        </w:rPr>
        <w:t>2020</w:t>
      </w:r>
      <w:r>
        <w:rPr>
          <w:rFonts w:hint="eastAsia" w:ascii="仿宋" w:hAnsi="仿宋" w:eastAsia="仿宋"/>
          <w:color w:val="000000"/>
          <w:sz w:val="32"/>
          <w:szCs w:val="32"/>
        </w:rPr>
        <w:t>年本年收入合计952.69万元，其中：一般公共预算财政拨款收入810.69万元，占85.09</w:t>
      </w:r>
      <w:r>
        <w:rPr>
          <w:rFonts w:ascii="仿宋" w:hAnsi="仿宋" w:eastAsia="仿宋"/>
          <w:color w:val="000000"/>
          <w:sz w:val="32"/>
          <w:szCs w:val="32"/>
        </w:rPr>
        <w:t>%</w:t>
      </w:r>
      <w:r>
        <w:rPr>
          <w:rFonts w:hint="eastAsia" w:ascii="仿宋" w:hAnsi="仿宋" w:eastAsia="仿宋"/>
          <w:color w:val="000000"/>
          <w:sz w:val="32"/>
          <w:szCs w:val="32"/>
        </w:rPr>
        <w:t>；政府性基金预算财政拨款收入142.00万元，占14.91</w:t>
      </w:r>
      <w:r>
        <w:rPr>
          <w:rFonts w:ascii="仿宋" w:hAnsi="仿宋" w:eastAsia="仿宋"/>
          <w:color w:val="000000"/>
          <w:sz w:val="32"/>
          <w:szCs w:val="32"/>
        </w:rPr>
        <w:t>%</w:t>
      </w:r>
      <w:r>
        <w:rPr>
          <w:rFonts w:hint="eastAsia" w:ascii="仿宋" w:hAnsi="仿宋" w:eastAsia="仿宋"/>
          <w:color w:val="000000"/>
          <w:sz w:val="32"/>
          <w:szCs w:val="32"/>
        </w:rPr>
        <w:t>；上级补助收入0万元，占0</w:t>
      </w:r>
      <w:r>
        <w:rPr>
          <w:rFonts w:ascii="仿宋" w:hAnsi="仿宋" w:eastAsia="仿宋"/>
          <w:color w:val="000000"/>
          <w:sz w:val="32"/>
          <w:szCs w:val="32"/>
        </w:rPr>
        <w:t>%</w:t>
      </w:r>
      <w:r>
        <w:rPr>
          <w:rFonts w:hint="eastAsia" w:ascii="仿宋" w:hAnsi="仿宋" w:eastAsia="仿宋"/>
          <w:color w:val="000000"/>
          <w:sz w:val="32"/>
          <w:szCs w:val="32"/>
        </w:rPr>
        <w:t>；事业收入0万元，占0</w:t>
      </w:r>
      <w:r>
        <w:rPr>
          <w:rFonts w:ascii="仿宋" w:hAnsi="仿宋" w:eastAsia="仿宋"/>
          <w:color w:val="000000"/>
          <w:sz w:val="32"/>
          <w:szCs w:val="32"/>
        </w:rPr>
        <w:t>%</w:t>
      </w:r>
      <w:r>
        <w:rPr>
          <w:rFonts w:hint="eastAsia" w:ascii="仿宋" w:hAnsi="仿宋" w:eastAsia="仿宋"/>
          <w:color w:val="000000"/>
          <w:sz w:val="32"/>
          <w:szCs w:val="32"/>
        </w:rPr>
        <w:t>；经营收入0万元，占0</w:t>
      </w:r>
      <w:r>
        <w:rPr>
          <w:rFonts w:ascii="仿宋" w:hAnsi="仿宋" w:eastAsia="仿宋"/>
          <w:color w:val="000000"/>
          <w:sz w:val="32"/>
          <w:szCs w:val="32"/>
        </w:rPr>
        <w:t>%</w:t>
      </w:r>
      <w:r>
        <w:rPr>
          <w:rFonts w:hint="eastAsia" w:ascii="仿宋" w:hAnsi="仿宋" w:eastAsia="仿宋"/>
          <w:color w:val="000000"/>
          <w:sz w:val="32"/>
          <w:szCs w:val="32"/>
        </w:rPr>
        <w:t>；附属单位上缴收入0万元，占0</w:t>
      </w:r>
      <w:r>
        <w:rPr>
          <w:rFonts w:ascii="仿宋" w:hAnsi="仿宋" w:eastAsia="仿宋"/>
          <w:color w:val="000000"/>
          <w:sz w:val="32"/>
          <w:szCs w:val="32"/>
        </w:rPr>
        <w:t>%</w:t>
      </w:r>
      <w:r>
        <w:rPr>
          <w:rFonts w:hint="eastAsia" w:ascii="仿宋" w:hAnsi="仿宋" w:eastAsia="仿宋"/>
          <w:color w:val="000000"/>
          <w:sz w:val="32"/>
          <w:szCs w:val="32"/>
        </w:rPr>
        <w:t>；其他收入0万元，占0</w:t>
      </w:r>
      <w:r>
        <w:rPr>
          <w:rFonts w:ascii="仿宋" w:hAnsi="仿宋" w:eastAsia="仿宋"/>
          <w:color w:val="000000"/>
          <w:sz w:val="32"/>
          <w:szCs w:val="32"/>
        </w:rPr>
        <w:t>%</w:t>
      </w:r>
      <w:r>
        <w:rPr>
          <w:rFonts w:hint="eastAsia" w:ascii="仿宋" w:hAnsi="仿宋" w:eastAsia="仿宋"/>
          <w:color w:val="000000"/>
          <w:sz w:val="32"/>
          <w:szCs w:val="32"/>
        </w:rPr>
        <w:t>。</w:t>
      </w:r>
      <w:bookmarkEnd w:id="62"/>
      <w:bookmarkEnd w:id="63"/>
      <w:bookmarkEnd w:id="64"/>
      <w:bookmarkEnd w:id="65"/>
    </w:p>
    <w:p>
      <w:pPr>
        <w:spacing w:line="600" w:lineRule="exact"/>
        <w:ind w:firstLine="643" w:firstLineChars="200"/>
        <w:outlineLvl w:val="1"/>
        <w:rPr>
          <w:rFonts w:ascii="仿宋" w:hAnsi="仿宋" w:eastAsia="仿宋"/>
          <w:b/>
          <w:color w:val="FF0000"/>
          <w:sz w:val="32"/>
          <w:szCs w:val="32"/>
        </w:rPr>
      </w:pPr>
      <w:bookmarkStart w:id="66" w:name="_Toc16390"/>
      <w:bookmarkStart w:id="67" w:name="_Toc24460"/>
      <w:bookmarkStart w:id="68" w:name="_Toc25044"/>
      <w:bookmarkStart w:id="69" w:name="_Toc8015"/>
      <w:r>
        <w:rPr>
          <w:rFonts w:hint="eastAsia" w:ascii="仿宋" w:hAnsi="仿宋" w:eastAsia="仿宋"/>
          <w:b/>
          <w:color w:val="FF0000"/>
          <w:sz w:val="32"/>
          <w:szCs w:val="32"/>
        </w:rPr>
        <w:t>（注：数据来源于财决</w:t>
      </w:r>
      <w:r>
        <w:rPr>
          <w:rFonts w:ascii="仿宋" w:hAnsi="仿宋" w:eastAsia="仿宋"/>
          <w:b/>
          <w:color w:val="FF0000"/>
          <w:sz w:val="32"/>
          <w:szCs w:val="32"/>
        </w:rPr>
        <w:t>01</w:t>
      </w:r>
      <w:r>
        <w:rPr>
          <w:rFonts w:hint="eastAsia" w:ascii="仿宋" w:hAnsi="仿宋" w:eastAsia="仿宋"/>
          <w:b/>
          <w:color w:val="FF0000"/>
          <w:sz w:val="32"/>
          <w:szCs w:val="32"/>
        </w:rPr>
        <w:t>表）</w:t>
      </w:r>
      <w:bookmarkEnd w:id="66"/>
      <w:bookmarkEnd w:id="67"/>
      <w:bookmarkEnd w:id="68"/>
      <w:bookmarkEnd w:id="69"/>
    </w:p>
    <w:p>
      <w:pPr>
        <w:spacing w:line="600" w:lineRule="exact"/>
        <w:ind w:firstLine="640" w:firstLineChars="200"/>
        <w:rPr>
          <w:rFonts w:ascii="仿宋" w:hAnsi="仿宋" w:eastAsia="仿宋"/>
          <w:color w:val="000000"/>
          <w:sz w:val="32"/>
          <w:szCs w:val="32"/>
        </w:rPr>
      </w:pP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（图</w:t>
      </w:r>
      <w:r>
        <w:rPr>
          <w:rFonts w:ascii="仿宋" w:hAnsi="仿宋" w:eastAsia="仿宋"/>
          <w:color w:val="000000"/>
          <w:sz w:val="32"/>
          <w:szCs w:val="32"/>
        </w:rPr>
        <w:t>2</w:t>
      </w:r>
      <w:r>
        <w:rPr>
          <w:rFonts w:hint="eastAsia" w:ascii="仿宋" w:hAnsi="仿宋" w:eastAsia="仿宋"/>
          <w:color w:val="000000"/>
          <w:sz w:val="32"/>
          <w:szCs w:val="32"/>
        </w:rPr>
        <w:t>：收入决算结构图）（饼状图）</w:t>
      </w:r>
    </w:p>
    <w:p>
      <w:pPr>
        <w:spacing w:line="720" w:lineRule="auto"/>
        <w:ind w:firstLine="640" w:firstLineChars="200"/>
        <w:rPr>
          <w:rFonts w:ascii="仿宋_GB2312" w:eastAsia="仿宋_GB2312"/>
          <w:color w:val="FF0000"/>
          <w:sz w:val="32"/>
          <w:szCs w:val="32"/>
        </w:rPr>
      </w:pPr>
      <w:r>
        <w:rPr>
          <w:rFonts w:hint="eastAsia" w:ascii="仿宋_GB2312" w:eastAsia="仿宋_GB2312"/>
          <w:color w:val="FF0000"/>
          <w:sz w:val="32"/>
          <w:szCs w:val="32"/>
        </w:rPr>
        <w:drawing>
          <wp:inline distT="0" distB="0" distL="0" distR="0">
            <wp:extent cx="5267325" cy="2990850"/>
            <wp:effectExtent l="0" t="0" r="0" b="0"/>
            <wp:docPr id="8" name="图片 2" descr="1633913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63391305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7325" cy="2990850"/>
                    </a:xfrm>
                    <a:prstGeom prst="rect">
                      <a:avLst/>
                    </a:prstGeom>
                    <a:noFill/>
                    <a:ln>
                      <a:noFill/>
                    </a:ln>
                  </pic:spPr>
                </pic:pic>
              </a:graphicData>
            </a:graphic>
          </wp:inline>
        </w:drawing>
      </w:r>
    </w:p>
    <w:p>
      <w:pPr>
        <w:pStyle w:val="36"/>
        <w:numPr>
          <w:ilvl w:val="0"/>
          <w:numId w:val="1"/>
        </w:numPr>
        <w:spacing w:line="600" w:lineRule="exact"/>
        <w:ind w:firstLineChars="0"/>
        <w:outlineLvl w:val="1"/>
        <w:rPr>
          <w:rStyle w:val="30"/>
          <w:rFonts w:ascii="黑体" w:hAnsi="黑体" w:eastAsia="黑体"/>
          <w:b w:val="0"/>
        </w:rPr>
      </w:pPr>
      <w:bookmarkStart w:id="70" w:name="_Toc15396605"/>
      <w:bookmarkStart w:id="71" w:name="_Toc15318"/>
      <w:bookmarkStart w:id="72" w:name="_Toc15377207"/>
      <w:bookmarkStart w:id="73" w:name="_Toc3052"/>
      <w:bookmarkStart w:id="74" w:name="_Toc16728"/>
      <w:bookmarkStart w:id="75" w:name="_Toc18646"/>
      <w:r>
        <w:rPr>
          <w:rFonts w:hint="eastAsia" w:ascii="黑体" w:hAnsi="黑体" w:eastAsia="黑体"/>
          <w:color w:val="000000"/>
          <w:sz w:val="32"/>
          <w:szCs w:val="32"/>
        </w:rPr>
        <w:t>支</w:t>
      </w:r>
      <w:r>
        <w:rPr>
          <w:rStyle w:val="30"/>
          <w:rFonts w:hint="eastAsia" w:ascii="黑体" w:hAnsi="黑体" w:eastAsia="黑体"/>
          <w:b w:val="0"/>
        </w:rPr>
        <w:t>出决算情况说明</w:t>
      </w:r>
      <w:bookmarkEnd w:id="70"/>
      <w:bookmarkEnd w:id="71"/>
      <w:bookmarkEnd w:id="72"/>
      <w:bookmarkEnd w:id="73"/>
      <w:bookmarkEnd w:id="74"/>
      <w:bookmarkEnd w:id="75"/>
    </w:p>
    <w:p>
      <w:pPr>
        <w:spacing w:line="600" w:lineRule="exact"/>
        <w:ind w:firstLine="640" w:firstLineChars="200"/>
        <w:outlineLvl w:val="1"/>
        <w:rPr>
          <w:rFonts w:ascii="仿宋" w:hAnsi="仿宋" w:eastAsia="仿宋"/>
          <w:color w:val="000000"/>
          <w:sz w:val="32"/>
          <w:szCs w:val="32"/>
        </w:rPr>
      </w:pPr>
      <w:bookmarkStart w:id="76" w:name="_Toc2177"/>
      <w:bookmarkStart w:id="77" w:name="_Toc8057"/>
      <w:bookmarkStart w:id="78" w:name="_Toc28251"/>
      <w:bookmarkStart w:id="79" w:name="_Toc28748"/>
      <w:r>
        <w:rPr>
          <w:rFonts w:ascii="仿宋" w:hAnsi="仿宋" w:eastAsia="仿宋"/>
          <w:color w:val="000000"/>
          <w:sz w:val="32"/>
          <w:szCs w:val="32"/>
        </w:rPr>
        <w:t>2020</w:t>
      </w:r>
      <w:r>
        <w:rPr>
          <w:rFonts w:hint="eastAsia" w:ascii="仿宋" w:hAnsi="仿宋" w:eastAsia="仿宋"/>
          <w:color w:val="000000"/>
          <w:sz w:val="32"/>
          <w:szCs w:val="32"/>
        </w:rPr>
        <w:t>年本年支出合计1168.71万元，其中：基本支出418.80万元，占35.83</w:t>
      </w:r>
      <w:r>
        <w:rPr>
          <w:rFonts w:ascii="仿宋" w:hAnsi="仿宋" w:eastAsia="仿宋"/>
          <w:color w:val="000000"/>
          <w:sz w:val="32"/>
          <w:szCs w:val="32"/>
        </w:rPr>
        <w:t>%</w:t>
      </w:r>
      <w:r>
        <w:rPr>
          <w:rFonts w:hint="eastAsia" w:ascii="仿宋" w:hAnsi="仿宋" w:eastAsia="仿宋"/>
          <w:color w:val="000000"/>
          <w:sz w:val="32"/>
          <w:szCs w:val="32"/>
        </w:rPr>
        <w:t>；项目支出749.91万元，占64.17</w:t>
      </w:r>
      <w:r>
        <w:rPr>
          <w:rFonts w:ascii="仿宋" w:hAnsi="仿宋" w:eastAsia="仿宋"/>
          <w:color w:val="000000"/>
          <w:sz w:val="32"/>
          <w:szCs w:val="32"/>
        </w:rPr>
        <w:t>%</w:t>
      </w:r>
      <w:r>
        <w:rPr>
          <w:rFonts w:hint="eastAsia" w:ascii="仿宋" w:hAnsi="仿宋" w:eastAsia="仿宋"/>
          <w:color w:val="000000"/>
          <w:sz w:val="32"/>
          <w:szCs w:val="32"/>
        </w:rPr>
        <w:t>；上缴上级支出0万元，占0</w:t>
      </w:r>
      <w:r>
        <w:rPr>
          <w:rFonts w:ascii="仿宋" w:hAnsi="仿宋" w:eastAsia="仿宋"/>
          <w:color w:val="000000"/>
          <w:sz w:val="32"/>
          <w:szCs w:val="32"/>
        </w:rPr>
        <w:t>%</w:t>
      </w:r>
      <w:r>
        <w:rPr>
          <w:rFonts w:hint="eastAsia" w:ascii="仿宋" w:hAnsi="仿宋" w:eastAsia="仿宋"/>
          <w:color w:val="000000"/>
          <w:sz w:val="32"/>
          <w:szCs w:val="32"/>
        </w:rPr>
        <w:t>；经营支出0万元，占0</w:t>
      </w:r>
      <w:r>
        <w:rPr>
          <w:rFonts w:ascii="仿宋" w:hAnsi="仿宋" w:eastAsia="仿宋"/>
          <w:color w:val="000000"/>
          <w:sz w:val="32"/>
          <w:szCs w:val="32"/>
        </w:rPr>
        <w:t>%</w:t>
      </w:r>
      <w:r>
        <w:rPr>
          <w:rFonts w:hint="eastAsia" w:ascii="仿宋" w:hAnsi="仿宋" w:eastAsia="仿宋"/>
          <w:color w:val="000000"/>
          <w:sz w:val="32"/>
          <w:szCs w:val="32"/>
        </w:rPr>
        <w:t>；对附属单位补助支出0万元，占0</w:t>
      </w:r>
      <w:r>
        <w:rPr>
          <w:rFonts w:ascii="仿宋" w:hAnsi="仿宋" w:eastAsia="仿宋"/>
          <w:color w:val="000000"/>
          <w:sz w:val="32"/>
          <w:szCs w:val="32"/>
        </w:rPr>
        <w:t>%</w:t>
      </w:r>
      <w:r>
        <w:rPr>
          <w:rFonts w:hint="eastAsia" w:ascii="仿宋" w:hAnsi="仿宋" w:eastAsia="仿宋"/>
          <w:color w:val="000000"/>
          <w:sz w:val="32"/>
          <w:szCs w:val="32"/>
        </w:rPr>
        <w:t>。</w:t>
      </w:r>
      <w:bookmarkEnd w:id="76"/>
      <w:bookmarkEnd w:id="77"/>
      <w:bookmarkEnd w:id="78"/>
      <w:bookmarkEnd w:id="79"/>
    </w:p>
    <w:p>
      <w:pPr>
        <w:spacing w:line="600" w:lineRule="exact"/>
        <w:ind w:firstLine="643" w:firstLineChars="200"/>
        <w:outlineLvl w:val="1"/>
        <w:rPr>
          <w:rFonts w:ascii="仿宋" w:hAnsi="仿宋" w:eastAsia="仿宋"/>
          <w:b/>
          <w:color w:val="FF0000"/>
          <w:sz w:val="32"/>
          <w:szCs w:val="32"/>
        </w:rPr>
      </w:pPr>
      <w:bookmarkStart w:id="80" w:name="_Toc2235"/>
      <w:bookmarkStart w:id="81" w:name="_Toc25451"/>
      <w:bookmarkStart w:id="82" w:name="_Toc30188"/>
      <w:bookmarkStart w:id="83" w:name="_Toc25630"/>
      <w:r>
        <w:rPr>
          <w:rFonts w:hint="eastAsia" w:ascii="仿宋" w:hAnsi="仿宋" w:eastAsia="仿宋"/>
          <w:b/>
          <w:color w:val="FF0000"/>
          <w:sz w:val="32"/>
          <w:szCs w:val="32"/>
        </w:rPr>
        <w:t>（注：数据来源于财决</w:t>
      </w:r>
      <w:r>
        <w:rPr>
          <w:rFonts w:ascii="仿宋" w:hAnsi="仿宋" w:eastAsia="仿宋"/>
          <w:b/>
          <w:color w:val="FF0000"/>
          <w:sz w:val="32"/>
          <w:szCs w:val="32"/>
        </w:rPr>
        <w:t>04</w:t>
      </w:r>
      <w:r>
        <w:rPr>
          <w:rFonts w:hint="eastAsia" w:ascii="仿宋" w:hAnsi="仿宋" w:eastAsia="仿宋"/>
          <w:b/>
          <w:color w:val="FF0000"/>
          <w:sz w:val="32"/>
          <w:szCs w:val="32"/>
        </w:rPr>
        <w:t>表）</w:t>
      </w:r>
      <w:bookmarkEnd w:id="80"/>
      <w:bookmarkEnd w:id="81"/>
      <w:bookmarkEnd w:id="82"/>
      <w:bookmarkEnd w:id="83"/>
    </w:p>
    <w:p>
      <w:pPr>
        <w:spacing w:line="720" w:lineRule="auto"/>
        <w:ind w:firstLine="641"/>
        <w:rPr>
          <w:rFonts w:ascii="仿宋" w:hAnsi="仿宋" w:eastAsia="仿宋"/>
          <w:color w:val="000000"/>
          <w:sz w:val="32"/>
          <w:szCs w:val="32"/>
          <w:shd w:val="pct10" w:color="auto" w:fill="FFFFFF"/>
        </w:rPr>
      </w:pPr>
      <w:r>
        <w:rPr>
          <w:rFonts w:ascii="仿宋" w:hAnsi="仿宋" w:eastAsia="仿宋"/>
          <w:color w:val="000000"/>
          <w:sz w:val="32"/>
          <w:szCs w:val="32"/>
          <w:shd w:val="pct10" w:color="auto" w:fill="FFFFFF"/>
        </w:rPr>
        <w:drawing>
          <wp:inline distT="0" distB="0" distL="0" distR="0">
            <wp:extent cx="5267325" cy="3114675"/>
            <wp:effectExtent l="0" t="0" r="0" b="0"/>
            <wp:docPr id="3" name="图片 3" descr="92122f966a8edf50402d0b1e0fcb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2122f966a8edf50402d0b1e0fcbde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67325" cy="3114675"/>
                    </a:xfrm>
                    <a:prstGeom prst="rect">
                      <a:avLst/>
                    </a:prstGeom>
                    <a:noFill/>
                    <a:ln>
                      <a:noFill/>
                    </a:ln>
                  </pic:spPr>
                </pic:pic>
              </a:graphicData>
            </a:graphic>
          </wp:inline>
        </w:drawing>
      </w: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（图</w:t>
      </w:r>
      <w:r>
        <w:rPr>
          <w:rFonts w:ascii="仿宋" w:hAnsi="仿宋" w:eastAsia="仿宋"/>
          <w:color w:val="000000"/>
          <w:sz w:val="32"/>
          <w:szCs w:val="32"/>
        </w:rPr>
        <w:t>3</w:t>
      </w:r>
      <w:r>
        <w:rPr>
          <w:rFonts w:hint="eastAsia" w:ascii="仿宋" w:hAnsi="仿宋" w:eastAsia="仿宋"/>
          <w:color w:val="000000"/>
          <w:sz w:val="32"/>
          <w:szCs w:val="32"/>
        </w:rPr>
        <w:t>：支出决算结构图）（饼状图）</w:t>
      </w:r>
    </w:p>
    <w:p>
      <w:pPr>
        <w:spacing w:line="600" w:lineRule="exact"/>
        <w:ind w:firstLine="640" w:firstLineChars="200"/>
        <w:rPr>
          <w:rFonts w:ascii="仿宋_GB2312" w:eastAsia="仿宋_GB2312"/>
          <w:color w:val="FF0000"/>
          <w:sz w:val="32"/>
          <w:szCs w:val="32"/>
        </w:rPr>
      </w:pPr>
    </w:p>
    <w:p>
      <w:pPr>
        <w:spacing w:line="600" w:lineRule="exact"/>
        <w:ind w:firstLine="640" w:firstLineChars="200"/>
        <w:outlineLvl w:val="1"/>
        <w:rPr>
          <w:rStyle w:val="30"/>
          <w:rFonts w:ascii="黑体" w:hAnsi="黑体" w:eastAsia="黑体"/>
          <w:b w:val="0"/>
        </w:rPr>
      </w:pPr>
      <w:bookmarkStart w:id="84" w:name="_Toc15396606"/>
      <w:bookmarkStart w:id="85" w:name="_Toc22383"/>
      <w:bookmarkStart w:id="86" w:name="_Toc7056"/>
      <w:bookmarkStart w:id="87" w:name="_Toc15377208"/>
      <w:bookmarkStart w:id="88" w:name="_Toc22372"/>
      <w:bookmarkStart w:id="89" w:name="_Toc32757"/>
      <w:r>
        <w:rPr>
          <w:rFonts w:hint="eastAsia" w:ascii="黑体" w:hAnsi="黑体" w:eastAsia="黑体"/>
          <w:color w:val="000000"/>
          <w:sz w:val="32"/>
          <w:szCs w:val="32"/>
        </w:rPr>
        <w:t>四、财</w:t>
      </w:r>
      <w:r>
        <w:rPr>
          <w:rStyle w:val="30"/>
          <w:rFonts w:hint="eastAsia" w:ascii="黑体" w:hAnsi="黑体" w:eastAsia="黑体"/>
          <w:b w:val="0"/>
        </w:rPr>
        <w:t>政拨款收入支出决算总体情况说明</w:t>
      </w:r>
      <w:bookmarkEnd w:id="84"/>
      <w:bookmarkEnd w:id="85"/>
      <w:bookmarkEnd w:id="86"/>
      <w:bookmarkEnd w:id="87"/>
      <w:bookmarkEnd w:id="88"/>
      <w:bookmarkEnd w:id="89"/>
    </w:p>
    <w:p>
      <w:pPr>
        <w:spacing w:line="600" w:lineRule="exact"/>
        <w:ind w:firstLine="640" w:firstLineChars="200"/>
        <w:rPr>
          <w:rFonts w:ascii="仿宋" w:hAnsi="仿宋" w:eastAsia="仿宋"/>
          <w:color w:val="000000"/>
          <w:sz w:val="32"/>
          <w:szCs w:val="32"/>
        </w:rPr>
      </w:pPr>
      <w:r>
        <w:rPr>
          <w:rFonts w:ascii="仿宋" w:hAnsi="仿宋" w:eastAsia="仿宋"/>
          <w:color w:val="000000"/>
          <w:sz w:val="32"/>
          <w:szCs w:val="32"/>
        </w:rPr>
        <w:t>2020</w:t>
      </w:r>
      <w:r>
        <w:rPr>
          <w:rFonts w:hint="eastAsia" w:ascii="仿宋" w:hAnsi="仿宋" w:eastAsia="仿宋"/>
          <w:color w:val="000000"/>
          <w:sz w:val="32"/>
          <w:szCs w:val="32"/>
        </w:rPr>
        <w:t>年财政拨款收、支总计1246.84万元。与</w:t>
      </w:r>
      <w:r>
        <w:rPr>
          <w:rFonts w:ascii="仿宋" w:hAnsi="仿宋" w:eastAsia="仿宋"/>
          <w:color w:val="000000"/>
          <w:sz w:val="32"/>
          <w:szCs w:val="32"/>
        </w:rPr>
        <w:t>2019</w:t>
      </w:r>
      <w:r>
        <w:rPr>
          <w:rFonts w:hint="eastAsia" w:ascii="仿宋" w:hAnsi="仿宋" w:eastAsia="仿宋"/>
          <w:color w:val="000000"/>
          <w:sz w:val="32"/>
          <w:szCs w:val="32"/>
        </w:rPr>
        <w:t>年相比，财政拨款收、支总计各增加260.79万元，增长 26.45</w:t>
      </w:r>
      <w:r>
        <w:rPr>
          <w:rFonts w:ascii="仿宋" w:hAnsi="仿宋" w:eastAsia="仿宋"/>
          <w:color w:val="000000"/>
          <w:sz w:val="32"/>
          <w:szCs w:val="32"/>
        </w:rPr>
        <w:t>%</w:t>
      </w:r>
      <w:r>
        <w:rPr>
          <w:rFonts w:hint="eastAsia" w:ascii="仿宋" w:hAnsi="仿宋" w:eastAsia="仿宋"/>
          <w:color w:val="000000"/>
          <w:sz w:val="32"/>
          <w:szCs w:val="32"/>
        </w:rPr>
        <w:t>。主要变动原因是2019年年末下达的项目资金在2020年完成。</w:t>
      </w:r>
    </w:p>
    <w:p>
      <w:pPr>
        <w:spacing w:line="600" w:lineRule="exact"/>
        <w:ind w:firstLine="640"/>
        <w:rPr>
          <w:rFonts w:ascii="仿宋" w:hAnsi="仿宋" w:eastAsia="仿宋"/>
          <w:b/>
          <w:color w:val="FF0000"/>
          <w:sz w:val="32"/>
          <w:szCs w:val="32"/>
        </w:rPr>
      </w:pPr>
      <w:r>
        <w:rPr>
          <w:rFonts w:hint="eastAsia" w:ascii="仿宋" w:hAnsi="仿宋" w:eastAsia="仿宋"/>
          <w:b/>
          <w:color w:val="FF0000"/>
          <w:sz w:val="32"/>
          <w:szCs w:val="32"/>
        </w:rPr>
        <w:t>（注：除国有资本经营预算外，数据来源于财决</w:t>
      </w:r>
      <w:r>
        <w:rPr>
          <w:rFonts w:ascii="仿宋" w:hAnsi="仿宋" w:eastAsia="仿宋"/>
          <w:b/>
          <w:color w:val="FF0000"/>
          <w:sz w:val="32"/>
          <w:szCs w:val="32"/>
        </w:rPr>
        <w:t>Z01-1</w:t>
      </w:r>
      <w:r>
        <w:rPr>
          <w:rFonts w:hint="eastAsia" w:ascii="仿宋" w:hAnsi="仿宋" w:eastAsia="仿宋"/>
          <w:b/>
          <w:color w:val="FF0000"/>
          <w:sz w:val="32"/>
          <w:szCs w:val="32"/>
        </w:rPr>
        <w:t>表，口径为“总计”数</w:t>
      </w:r>
      <w:r>
        <w:rPr>
          <w:rFonts w:ascii="仿宋" w:hAnsi="仿宋" w:eastAsia="仿宋"/>
          <w:b/>
          <w:color w:val="FF0000"/>
          <w:sz w:val="32"/>
          <w:szCs w:val="32"/>
        </w:rPr>
        <w:t>+</w:t>
      </w:r>
      <w:r>
        <w:rPr>
          <w:rFonts w:hint="eastAsia" w:ascii="仿宋" w:hAnsi="仿宋" w:eastAsia="仿宋"/>
          <w:b/>
          <w:color w:val="FF0000"/>
          <w:sz w:val="32"/>
          <w:szCs w:val="32"/>
        </w:rPr>
        <w:t>国有资本经营预算。）</w:t>
      </w:r>
    </w:p>
    <w:p>
      <w:pPr>
        <w:spacing w:line="720" w:lineRule="auto"/>
        <w:rPr>
          <w:rFonts w:ascii="仿宋" w:hAnsi="仿宋" w:eastAsia="仿宋"/>
          <w:color w:val="000000"/>
          <w:sz w:val="32"/>
          <w:szCs w:val="32"/>
        </w:rPr>
      </w:pPr>
      <w:r>
        <w:rPr>
          <w:rFonts w:hint="eastAsia" w:ascii="仿宋_GB2312" w:eastAsia="仿宋_GB2312"/>
          <w:color w:val="000000"/>
          <w:sz w:val="32"/>
          <w:szCs w:val="32"/>
        </w:rPr>
        <w:drawing>
          <wp:inline distT="0" distB="0" distL="0" distR="0">
            <wp:extent cx="5267325" cy="3038475"/>
            <wp:effectExtent l="0" t="0" r="0" b="0"/>
            <wp:docPr id="4" name="图片 4" descr="微信图片_2021101109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1011093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7325" cy="3038475"/>
                    </a:xfrm>
                    <a:prstGeom prst="rect">
                      <a:avLst/>
                    </a:prstGeom>
                    <a:noFill/>
                    <a:ln>
                      <a:noFill/>
                    </a:ln>
                  </pic:spPr>
                </pic:pic>
              </a:graphicData>
            </a:graphic>
          </wp:inline>
        </w:drawing>
      </w: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（图</w:t>
      </w:r>
      <w:r>
        <w:rPr>
          <w:rFonts w:ascii="仿宋" w:hAnsi="仿宋" w:eastAsia="仿宋"/>
          <w:color w:val="000000"/>
          <w:sz w:val="32"/>
          <w:szCs w:val="32"/>
        </w:rPr>
        <w:t>4</w:t>
      </w:r>
      <w:r>
        <w:rPr>
          <w:rFonts w:hint="eastAsia" w:ascii="仿宋" w:hAnsi="仿宋" w:eastAsia="仿宋"/>
          <w:color w:val="000000"/>
          <w:sz w:val="32"/>
          <w:szCs w:val="32"/>
        </w:rPr>
        <w:t>：财政拨款收、支决算总计变动情况）（柱状图）</w:t>
      </w:r>
    </w:p>
    <w:p>
      <w:pPr>
        <w:spacing w:line="600" w:lineRule="exact"/>
        <w:ind w:firstLine="640"/>
        <w:rPr>
          <w:rFonts w:ascii="仿宋" w:hAnsi="仿宋" w:eastAsia="仿宋"/>
          <w:b/>
          <w:color w:val="00B050"/>
          <w:sz w:val="32"/>
          <w:szCs w:val="32"/>
        </w:rPr>
      </w:pPr>
    </w:p>
    <w:p>
      <w:pPr>
        <w:spacing w:line="600" w:lineRule="exact"/>
        <w:ind w:firstLine="640" w:firstLineChars="200"/>
        <w:outlineLvl w:val="1"/>
        <w:rPr>
          <w:rStyle w:val="30"/>
          <w:rFonts w:ascii="黑体" w:hAnsi="黑体" w:eastAsia="黑体"/>
          <w:b w:val="0"/>
        </w:rPr>
      </w:pPr>
      <w:bookmarkStart w:id="90" w:name="_Toc15396607"/>
      <w:bookmarkStart w:id="91" w:name="_Toc15377209"/>
      <w:bookmarkStart w:id="92" w:name="_Toc24239"/>
      <w:bookmarkStart w:id="93" w:name="_Toc23245"/>
      <w:bookmarkStart w:id="94" w:name="_Toc5714"/>
      <w:bookmarkStart w:id="95" w:name="_Toc4692"/>
      <w:r>
        <w:rPr>
          <w:rFonts w:hint="eastAsia" w:ascii="黑体" w:hAnsi="黑体" w:eastAsia="黑体"/>
          <w:color w:val="000000"/>
          <w:sz w:val="32"/>
          <w:szCs w:val="32"/>
        </w:rPr>
        <w:t>五、</w:t>
      </w:r>
      <w:r>
        <w:rPr>
          <w:rFonts w:hint="eastAsia" w:ascii="黑体" w:hAnsi="黑体" w:eastAsia="黑体"/>
          <w:b/>
          <w:color w:val="000000"/>
          <w:sz w:val="32"/>
          <w:szCs w:val="32"/>
        </w:rPr>
        <w:t>一</w:t>
      </w:r>
      <w:r>
        <w:rPr>
          <w:rStyle w:val="30"/>
          <w:rFonts w:hint="eastAsia" w:ascii="黑体" w:hAnsi="黑体" w:eastAsia="黑体"/>
          <w:b w:val="0"/>
        </w:rPr>
        <w:t>般公共预算财政拨款支出决算情况说明</w:t>
      </w:r>
      <w:bookmarkEnd w:id="90"/>
      <w:bookmarkEnd w:id="91"/>
      <w:bookmarkEnd w:id="92"/>
      <w:bookmarkEnd w:id="93"/>
      <w:bookmarkEnd w:id="94"/>
      <w:bookmarkEnd w:id="95"/>
    </w:p>
    <w:p>
      <w:pPr>
        <w:spacing w:line="600" w:lineRule="exact"/>
        <w:ind w:firstLine="643" w:firstLineChars="200"/>
        <w:outlineLvl w:val="2"/>
        <w:rPr>
          <w:rFonts w:ascii="仿宋" w:hAnsi="仿宋" w:eastAsia="仿宋"/>
          <w:b/>
          <w:color w:val="000000"/>
          <w:sz w:val="32"/>
          <w:szCs w:val="32"/>
        </w:rPr>
      </w:pPr>
      <w:bookmarkStart w:id="96" w:name="_Toc15377210"/>
      <w:bookmarkStart w:id="97" w:name="_Toc1586"/>
      <w:bookmarkStart w:id="98" w:name="_Toc2625"/>
      <w:r>
        <w:rPr>
          <w:rFonts w:hint="eastAsia" w:ascii="仿宋" w:hAnsi="仿宋" w:eastAsia="仿宋"/>
          <w:b/>
          <w:color w:val="000000"/>
          <w:sz w:val="32"/>
          <w:szCs w:val="32"/>
        </w:rPr>
        <w:t>（一）一般公共预算财政拨款支出决算总体情况</w:t>
      </w:r>
      <w:bookmarkEnd w:id="96"/>
      <w:bookmarkEnd w:id="97"/>
      <w:bookmarkEnd w:id="98"/>
    </w:p>
    <w:p>
      <w:pPr>
        <w:spacing w:line="600" w:lineRule="exact"/>
        <w:ind w:firstLine="640" w:firstLineChars="200"/>
        <w:rPr>
          <w:rFonts w:ascii="仿宋" w:hAnsi="仿宋" w:eastAsia="仿宋"/>
          <w:color w:val="000000"/>
          <w:sz w:val="32"/>
          <w:szCs w:val="32"/>
        </w:rPr>
      </w:pPr>
      <w:r>
        <w:rPr>
          <w:rFonts w:ascii="仿宋" w:hAnsi="仿宋" w:eastAsia="仿宋"/>
          <w:color w:val="000000"/>
          <w:sz w:val="32"/>
          <w:szCs w:val="32"/>
        </w:rPr>
        <w:t>2020</w:t>
      </w:r>
      <w:r>
        <w:rPr>
          <w:rFonts w:hint="eastAsia" w:ascii="仿宋" w:hAnsi="仿宋" w:eastAsia="仿宋"/>
          <w:color w:val="000000"/>
          <w:sz w:val="32"/>
          <w:szCs w:val="32"/>
        </w:rPr>
        <w:t>年一般公共预算财政拨款支出1026.91万元，占本年支出合计的87.87</w:t>
      </w:r>
      <w:r>
        <w:rPr>
          <w:rFonts w:ascii="仿宋" w:hAnsi="仿宋" w:eastAsia="仿宋"/>
          <w:color w:val="000000"/>
          <w:sz w:val="32"/>
          <w:szCs w:val="32"/>
        </w:rPr>
        <w:t>%</w:t>
      </w:r>
      <w:r>
        <w:rPr>
          <w:rFonts w:hint="eastAsia" w:ascii="仿宋" w:hAnsi="仿宋" w:eastAsia="仿宋"/>
          <w:color w:val="000000"/>
          <w:sz w:val="32"/>
          <w:szCs w:val="32"/>
        </w:rPr>
        <w:t>。与</w:t>
      </w:r>
      <w:r>
        <w:rPr>
          <w:rFonts w:ascii="仿宋" w:hAnsi="仿宋" w:eastAsia="仿宋"/>
          <w:color w:val="000000"/>
          <w:sz w:val="32"/>
          <w:szCs w:val="32"/>
        </w:rPr>
        <w:t>2019</w:t>
      </w:r>
      <w:r>
        <w:rPr>
          <w:rFonts w:hint="eastAsia" w:ascii="仿宋" w:hAnsi="仿宋" w:eastAsia="仿宋"/>
          <w:color w:val="000000"/>
          <w:sz w:val="32"/>
          <w:szCs w:val="32"/>
        </w:rPr>
        <w:t>年相比，一般公共预算财政拨款增131.50万元，增长14.69</w:t>
      </w:r>
      <w:r>
        <w:rPr>
          <w:rFonts w:ascii="仿宋" w:hAnsi="仿宋" w:eastAsia="仿宋"/>
          <w:color w:val="000000"/>
          <w:sz w:val="32"/>
          <w:szCs w:val="32"/>
        </w:rPr>
        <w:t>%</w:t>
      </w:r>
      <w:r>
        <w:rPr>
          <w:rFonts w:hint="eastAsia" w:ascii="仿宋" w:hAnsi="仿宋" w:eastAsia="仿宋"/>
          <w:color w:val="000000"/>
          <w:sz w:val="32"/>
          <w:szCs w:val="32"/>
        </w:rPr>
        <w:t>。主要变动原因是2019年年末下达的项目资金在2020年完成</w:t>
      </w: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（图</w:t>
      </w:r>
      <w:r>
        <w:rPr>
          <w:rFonts w:ascii="仿宋" w:hAnsi="仿宋" w:eastAsia="仿宋"/>
          <w:color w:val="000000"/>
          <w:sz w:val="32"/>
          <w:szCs w:val="32"/>
        </w:rPr>
        <w:t>5</w:t>
      </w:r>
      <w:r>
        <w:rPr>
          <w:rFonts w:hint="eastAsia" w:ascii="仿宋" w:hAnsi="仿宋" w:eastAsia="仿宋"/>
          <w:color w:val="000000"/>
          <w:sz w:val="32"/>
          <w:szCs w:val="32"/>
        </w:rPr>
        <w:t>：一般公共预算财政拨款支出决算变动情况）（柱状图）</w:t>
      </w:r>
    </w:p>
    <w:p>
      <w:pPr>
        <w:spacing w:line="720" w:lineRule="auto"/>
        <w:ind w:firstLine="640" w:firstLineChars="200"/>
        <w:rPr>
          <w:rFonts w:ascii="仿宋" w:hAnsi="仿宋" w:eastAsia="仿宋"/>
          <w:color w:val="000000"/>
          <w:sz w:val="32"/>
          <w:szCs w:val="32"/>
        </w:rPr>
      </w:pPr>
      <w:r>
        <w:rPr>
          <w:rFonts w:ascii="仿宋" w:hAnsi="仿宋" w:eastAsia="仿宋"/>
          <w:color w:val="000000"/>
          <w:sz w:val="32"/>
          <w:szCs w:val="32"/>
        </w:rPr>
        <w:drawing>
          <wp:inline distT="0" distB="0" distL="0" distR="0">
            <wp:extent cx="5267325" cy="3076575"/>
            <wp:effectExtent l="0" t="0" r="0" b="0"/>
            <wp:docPr id="5" name="图片 5" descr="1633914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391446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67325" cy="3076575"/>
                    </a:xfrm>
                    <a:prstGeom prst="rect">
                      <a:avLst/>
                    </a:prstGeom>
                    <a:noFill/>
                    <a:ln>
                      <a:noFill/>
                    </a:ln>
                  </pic:spPr>
                </pic:pic>
              </a:graphicData>
            </a:graphic>
          </wp:inline>
        </w:drawing>
      </w:r>
    </w:p>
    <w:p>
      <w:pPr>
        <w:spacing w:line="600" w:lineRule="exact"/>
        <w:ind w:firstLine="643" w:firstLineChars="200"/>
        <w:outlineLvl w:val="2"/>
        <w:rPr>
          <w:rFonts w:ascii="仿宋" w:hAnsi="仿宋" w:eastAsia="仿宋"/>
          <w:b/>
          <w:color w:val="000000"/>
          <w:sz w:val="32"/>
          <w:szCs w:val="32"/>
        </w:rPr>
      </w:pPr>
      <w:bookmarkStart w:id="99" w:name="_Toc16598"/>
      <w:bookmarkStart w:id="100" w:name="_Toc21700"/>
      <w:bookmarkStart w:id="101" w:name="_Toc15377211"/>
      <w:r>
        <w:rPr>
          <w:rFonts w:hint="eastAsia" w:ascii="仿宋" w:hAnsi="仿宋" w:eastAsia="仿宋"/>
          <w:b/>
          <w:color w:val="000000"/>
          <w:sz w:val="32"/>
          <w:szCs w:val="32"/>
        </w:rPr>
        <w:t>（二）一般公共预算财政拨款支出决算结构情况</w:t>
      </w:r>
      <w:bookmarkEnd w:id="99"/>
      <w:bookmarkEnd w:id="100"/>
      <w:bookmarkEnd w:id="101"/>
    </w:p>
    <w:p>
      <w:pPr>
        <w:spacing w:line="600" w:lineRule="exact"/>
        <w:ind w:firstLine="640"/>
        <w:rPr>
          <w:rFonts w:ascii="仿宋" w:hAnsi="仿宋" w:eastAsia="仿宋"/>
          <w:b/>
          <w:color w:val="000000"/>
          <w:sz w:val="32"/>
          <w:szCs w:val="32"/>
        </w:rPr>
      </w:pPr>
      <w:r>
        <w:rPr>
          <w:rFonts w:ascii="仿宋" w:hAnsi="仿宋" w:eastAsia="仿宋"/>
          <w:color w:val="000000"/>
          <w:sz w:val="32"/>
          <w:szCs w:val="32"/>
        </w:rPr>
        <w:t>2020</w:t>
      </w:r>
      <w:r>
        <w:rPr>
          <w:rFonts w:hint="eastAsia" w:ascii="仿宋" w:hAnsi="仿宋" w:eastAsia="仿宋"/>
          <w:color w:val="000000"/>
          <w:sz w:val="32"/>
          <w:szCs w:val="32"/>
        </w:rPr>
        <w:t>年一般公共预算财政拨款支出1026.91万元，主要用于以下方面</w:t>
      </w:r>
      <w:r>
        <w:rPr>
          <w:rFonts w:ascii="仿宋" w:hAnsi="仿宋" w:eastAsia="仿宋"/>
          <w:color w:val="000000"/>
          <w:sz w:val="32"/>
          <w:szCs w:val="32"/>
        </w:rPr>
        <w:t>:</w:t>
      </w:r>
      <w:r>
        <w:rPr>
          <w:rFonts w:hint="eastAsia" w:ascii="仿宋" w:hAnsi="仿宋" w:eastAsia="仿宋"/>
          <w:b/>
          <w:color w:val="000000"/>
          <w:sz w:val="32"/>
          <w:szCs w:val="32"/>
        </w:rPr>
        <w:t>一般公共服务（类）</w:t>
      </w:r>
      <w:r>
        <w:rPr>
          <w:rFonts w:hint="eastAsia" w:ascii="仿宋" w:hAnsi="仿宋" w:eastAsia="仿宋"/>
          <w:color w:val="000000"/>
          <w:sz w:val="32"/>
          <w:szCs w:val="32"/>
        </w:rPr>
        <w:t>支出2.24万元，占0.22</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b/>
          <w:color w:val="000000"/>
          <w:sz w:val="32"/>
          <w:szCs w:val="32"/>
        </w:rPr>
        <w:t>教育支出（类）</w:t>
      </w:r>
      <w:r>
        <w:rPr>
          <w:rFonts w:hint="eastAsia" w:ascii="仿宋" w:hAnsi="仿宋" w:eastAsia="仿宋"/>
          <w:color w:val="000000"/>
          <w:sz w:val="32"/>
          <w:szCs w:val="32"/>
        </w:rPr>
        <w:t>0万元，占0</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b/>
          <w:color w:val="000000"/>
          <w:sz w:val="32"/>
          <w:szCs w:val="32"/>
        </w:rPr>
        <w:t>科学技术（类）</w:t>
      </w:r>
      <w:r>
        <w:rPr>
          <w:rFonts w:hint="eastAsia" w:ascii="仿宋" w:hAnsi="仿宋" w:eastAsia="仿宋"/>
          <w:color w:val="000000"/>
          <w:sz w:val="32"/>
          <w:szCs w:val="32"/>
        </w:rPr>
        <w:t>支出0万元，占0</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b/>
          <w:bCs/>
          <w:color w:val="000000"/>
          <w:sz w:val="32"/>
          <w:szCs w:val="32"/>
        </w:rPr>
        <w:t>文化旅游体育与传媒（类）支出0万元，占0</w:t>
      </w:r>
      <w:r>
        <w:rPr>
          <w:rFonts w:ascii="仿宋" w:hAnsi="仿宋" w:eastAsia="仿宋"/>
          <w:b/>
          <w:bCs/>
          <w:color w:val="000000"/>
          <w:sz w:val="32"/>
          <w:szCs w:val="32"/>
        </w:rPr>
        <w:t>%</w:t>
      </w:r>
      <w:r>
        <w:rPr>
          <w:rFonts w:hint="eastAsia" w:ascii="仿宋" w:hAnsi="仿宋" w:eastAsia="仿宋"/>
          <w:color w:val="000000"/>
          <w:sz w:val="32"/>
          <w:szCs w:val="32"/>
        </w:rPr>
        <w:t>；</w:t>
      </w:r>
      <w:r>
        <w:rPr>
          <w:rFonts w:hint="eastAsia" w:ascii="仿宋" w:hAnsi="仿宋" w:eastAsia="仿宋"/>
          <w:b/>
          <w:color w:val="000000"/>
          <w:sz w:val="32"/>
          <w:szCs w:val="32"/>
        </w:rPr>
        <w:t>社会保障和就业（类）</w:t>
      </w:r>
      <w:r>
        <w:rPr>
          <w:rFonts w:hint="eastAsia" w:ascii="仿宋" w:hAnsi="仿宋" w:eastAsia="仿宋"/>
          <w:color w:val="000000"/>
          <w:sz w:val="32"/>
          <w:szCs w:val="32"/>
        </w:rPr>
        <w:t>支出34.46万元，占3.35</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b/>
          <w:bCs/>
          <w:color w:val="000000"/>
          <w:sz w:val="32"/>
          <w:szCs w:val="32"/>
        </w:rPr>
        <w:t>卫生健康支出</w:t>
      </w:r>
      <w:r>
        <w:rPr>
          <w:rFonts w:hint="eastAsia" w:ascii="仿宋" w:hAnsi="仿宋" w:eastAsia="仿宋"/>
          <w:color w:val="000000"/>
          <w:sz w:val="32"/>
          <w:szCs w:val="32"/>
        </w:rPr>
        <w:t>0万元，占</w:t>
      </w:r>
      <w:r>
        <w:rPr>
          <w:rFonts w:ascii="仿宋" w:hAnsi="仿宋" w:eastAsia="仿宋"/>
          <w:color w:val="000000"/>
          <w:sz w:val="32"/>
          <w:szCs w:val="32"/>
        </w:rPr>
        <w:t>0%</w:t>
      </w:r>
      <w:r>
        <w:rPr>
          <w:rFonts w:hint="eastAsia" w:ascii="仿宋" w:hAnsi="仿宋" w:eastAsia="仿宋"/>
          <w:color w:val="000000"/>
          <w:sz w:val="32"/>
          <w:szCs w:val="32"/>
        </w:rPr>
        <w:t>；住房保障支出30.63万元，占2.98</w:t>
      </w:r>
      <w:r>
        <w:rPr>
          <w:rFonts w:ascii="仿宋" w:hAnsi="仿宋" w:eastAsia="仿宋"/>
          <w:color w:val="000000"/>
          <w:sz w:val="32"/>
          <w:szCs w:val="32"/>
        </w:rPr>
        <w:t>%</w:t>
      </w:r>
      <w:r>
        <w:rPr>
          <w:rFonts w:hint="eastAsia" w:ascii="仿宋" w:hAnsi="仿宋" w:eastAsia="仿宋"/>
          <w:color w:val="000000"/>
          <w:sz w:val="32"/>
          <w:szCs w:val="32"/>
        </w:rPr>
        <w:t>；城乡社区支出112.82万元，占10.99%；农林水支出846.76万元，占82.46%。</w:t>
      </w:r>
      <w:r>
        <w:rPr>
          <w:rFonts w:hint="eastAsia" w:ascii="仿宋" w:hAnsi="仿宋" w:eastAsia="仿宋"/>
          <w:b/>
          <w:color w:val="000000"/>
          <w:sz w:val="32"/>
          <w:szCs w:val="32"/>
        </w:rPr>
        <w:t>（罗列全部功能分类科目，至类级。）</w:t>
      </w:r>
    </w:p>
    <w:p>
      <w:pPr>
        <w:spacing w:line="720" w:lineRule="auto"/>
        <w:ind w:firstLine="641"/>
        <w:rPr>
          <w:rFonts w:ascii="仿宋" w:hAnsi="仿宋" w:eastAsia="仿宋"/>
          <w:color w:val="000000"/>
          <w:sz w:val="32"/>
          <w:szCs w:val="32"/>
        </w:rPr>
      </w:pPr>
      <w:r>
        <w:rPr>
          <w:rFonts w:ascii="仿宋" w:hAnsi="仿宋" w:eastAsia="仿宋"/>
          <w:color w:val="000000"/>
          <w:sz w:val="32"/>
          <w:szCs w:val="32"/>
        </w:rPr>
        <w:drawing>
          <wp:inline distT="0" distB="0" distL="0" distR="0">
            <wp:extent cx="5267325" cy="3105150"/>
            <wp:effectExtent l="0" t="0" r="0" b="0"/>
            <wp:docPr id="6" name="图片 6" descr="1634001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3400125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67325" cy="3105150"/>
                    </a:xfrm>
                    <a:prstGeom prst="rect">
                      <a:avLst/>
                    </a:prstGeom>
                    <a:noFill/>
                    <a:ln>
                      <a:noFill/>
                    </a:ln>
                  </pic:spPr>
                </pic:pic>
              </a:graphicData>
            </a:graphic>
          </wp:inline>
        </w:drawing>
      </w: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（图</w:t>
      </w:r>
      <w:r>
        <w:rPr>
          <w:rFonts w:ascii="仿宋" w:hAnsi="仿宋" w:eastAsia="仿宋"/>
          <w:color w:val="000000"/>
          <w:sz w:val="32"/>
          <w:szCs w:val="32"/>
        </w:rPr>
        <w:t>6</w:t>
      </w:r>
      <w:r>
        <w:rPr>
          <w:rFonts w:hint="eastAsia" w:ascii="仿宋" w:hAnsi="仿宋" w:eastAsia="仿宋"/>
          <w:color w:val="000000"/>
          <w:sz w:val="32"/>
          <w:szCs w:val="32"/>
        </w:rPr>
        <w:t>：一般公共预算财政拨款支出决算结构）（饼状图）</w:t>
      </w:r>
    </w:p>
    <w:p>
      <w:pPr>
        <w:spacing w:line="600" w:lineRule="exact"/>
        <w:ind w:firstLine="321" w:firstLineChars="100"/>
        <w:outlineLvl w:val="2"/>
        <w:rPr>
          <w:rFonts w:ascii="仿宋" w:hAnsi="仿宋" w:eastAsia="仿宋"/>
          <w:b/>
          <w:color w:val="000000"/>
          <w:sz w:val="32"/>
          <w:szCs w:val="32"/>
        </w:rPr>
      </w:pPr>
      <w:bookmarkStart w:id="102" w:name="_Toc6659"/>
      <w:bookmarkStart w:id="103" w:name="_Toc18598"/>
      <w:bookmarkStart w:id="104" w:name="_Toc15377212"/>
      <w:r>
        <w:rPr>
          <w:rFonts w:hint="eastAsia" w:ascii="仿宋" w:hAnsi="仿宋" w:eastAsia="仿宋"/>
          <w:b/>
          <w:color w:val="000000"/>
          <w:sz w:val="32"/>
          <w:szCs w:val="32"/>
        </w:rPr>
        <w:t>（三）一般公共预算财政拨款支出决算具体情况</w:t>
      </w:r>
      <w:bookmarkEnd w:id="102"/>
      <w:bookmarkEnd w:id="103"/>
      <w:bookmarkEnd w:id="104"/>
    </w:p>
    <w:p>
      <w:pPr>
        <w:spacing w:line="600" w:lineRule="exact"/>
        <w:ind w:firstLine="643" w:firstLineChars="200"/>
        <w:outlineLvl w:val="2"/>
        <w:rPr>
          <w:rFonts w:ascii="仿宋" w:hAnsi="仿宋" w:eastAsia="仿宋"/>
          <w:color w:val="FF0000"/>
          <w:sz w:val="32"/>
          <w:szCs w:val="32"/>
        </w:rPr>
      </w:pPr>
      <w:bookmarkStart w:id="105" w:name="_Toc23216"/>
      <w:bookmarkStart w:id="106" w:name="_Toc15377444"/>
      <w:bookmarkStart w:id="107" w:name="_Toc30370"/>
      <w:bookmarkStart w:id="108" w:name="_Toc15377213"/>
      <w:bookmarkStart w:id="109" w:name="_Toc15378460"/>
      <w:r>
        <w:rPr>
          <w:rFonts w:ascii="仿宋" w:hAnsi="仿宋" w:eastAsia="仿宋"/>
          <w:b/>
          <w:color w:val="000000"/>
          <w:sz w:val="32"/>
          <w:szCs w:val="32"/>
        </w:rPr>
        <w:t>2020</w:t>
      </w:r>
      <w:r>
        <w:rPr>
          <w:rFonts w:hint="eastAsia" w:ascii="仿宋" w:hAnsi="仿宋" w:eastAsia="仿宋"/>
          <w:b/>
          <w:color w:val="000000"/>
          <w:sz w:val="32"/>
          <w:szCs w:val="32"/>
        </w:rPr>
        <w:t>年一般公共预算支出决算数为1026.91万元</w:t>
      </w:r>
      <w:r>
        <w:rPr>
          <w:rFonts w:hint="eastAsia" w:ascii="仿宋" w:hAnsi="仿宋" w:eastAsia="仿宋"/>
          <w:color w:val="000000"/>
          <w:sz w:val="32"/>
          <w:szCs w:val="32"/>
        </w:rPr>
        <w:t>，</w:t>
      </w:r>
      <w:r>
        <w:rPr>
          <w:rStyle w:val="17"/>
          <w:rFonts w:hint="eastAsia" w:ascii="仿宋" w:hAnsi="仿宋" w:eastAsia="仿宋"/>
          <w:bCs/>
          <w:color w:val="000000"/>
          <w:sz w:val="32"/>
          <w:szCs w:val="32"/>
        </w:rPr>
        <w:t>完成预算92.98</w:t>
      </w:r>
      <w:r>
        <w:rPr>
          <w:rStyle w:val="17"/>
          <w:rFonts w:ascii="仿宋" w:hAnsi="仿宋" w:eastAsia="仿宋"/>
          <w:bCs/>
          <w:color w:val="000000"/>
          <w:sz w:val="32"/>
          <w:szCs w:val="32"/>
        </w:rPr>
        <w:t>%</w:t>
      </w:r>
      <w:r>
        <w:rPr>
          <w:rStyle w:val="17"/>
          <w:rFonts w:hint="eastAsia" w:ascii="仿宋" w:hAnsi="仿宋" w:eastAsia="仿宋"/>
          <w:bCs/>
          <w:color w:val="000000"/>
          <w:sz w:val="32"/>
          <w:szCs w:val="32"/>
        </w:rPr>
        <w:t>。其中：</w:t>
      </w:r>
      <w:bookmarkEnd w:id="105"/>
      <w:bookmarkEnd w:id="106"/>
      <w:bookmarkEnd w:id="107"/>
      <w:bookmarkEnd w:id="108"/>
      <w:bookmarkEnd w:id="109"/>
    </w:p>
    <w:p>
      <w:pPr>
        <w:spacing w:line="600" w:lineRule="exact"/>
        <w:ind w:firstLine="643" w:firstLineChars="200"/>
        <w:rPr>
          <w:rFonts w:ascii="仿宋" w:hAnsi="仿宋" w:eastAsia="仿宋"/>
          <w:b/>
          <w:color w:val="000000"/>
          <w:sz w:val="32"/>
          <w:szCs w:val="32"/>
        </w:rPr>
      </w:pPr>
      <w:r>
        <w:rPr>
          <w:rStyle w:val="17"/>
          <w:rFonts w:ascii="仿宋" w:hAnsi="仿宋" w:eastAsia="仿宋"/>
          <w:bCs/>
          <w:color w:val="000000"/>
          <w:sz w:val="32"/>
          <w:szCs w:val="32"/>
        </w:rPr>
        <w:t>1.</w:t>
      </w:r>
      <w:r>
        <w:rPr>
          <w:rStyle w:val="17"/>
          <w:rFonts w:hint="eastAsia" w:ascii="仿宋" w:hAnsi="仿宋" w:eastAsia="仿宋"/>
          <w:bCs/>
          <w:color w:val="000000"/>
          <w:sz w:val="32"/>
          <w:szCs w:val="32"/>
        </w:rPr>
        <w:t>一般公共服务—其他组织事务支出</w:t>
      </w:r>
      <w:r>
        <w:rPr>
          <w:rStyle w:val="17"/>
          <w:rFonts w:ascii="仿宋" w:hAnsi="仿宋" w:eastAsia="仿宋"/>
          <w:bCs/>
          <w:color w:val="000000"/>
          <w:sz w:val="32"/>
          <w:szCs w:val="32"/>
        </w:rPr>
        <w:t>:</w:t>
      </w:r>
      <w:r>
        <w:rPr>
          <w:rStyle w:val="17"/>
          <w:rFonts w:ascii="仿宋" w:hAnsi="仿宋" w:eastAsia="仿宋"/>
          <w:b w:val="0"/>
          <w:bCs/>
          <w:color w:val="000000"/>
          <w:sz w:val="32"/>
          <w:szCs w:val="32"/>
        </w:rPr>
        <w:t xml:space="preserve"> </w:t>
      </w:r>
      <w:r>
        <w:rPr>
          <w:rStyle w:val="17"/>
          <w:rFonts w:hint="eastAsia" w:ascii="仿宋" w:hAnsi="仿宋" w:eastAsia="仿宋"/>
          <w:b w:val="0"/>
          <w:bCs/>
          <w:color w:val="000000"/>
          <w:sz w:val="32"/>
          <w:szCs w:val="32"/>
        </w:rPr>
        <w:t>支出决算为2.24万元，完成预算100</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 xml:space="preserve">，决算数等于预算数。 </w:t>
      </w:r>
    </w:p>
    <w:p>
      <w:pPr>
        <w:spacing w:line="600" w:lineRule="exact"/>
        <w:ind w:firstLine="643" w:firstLineChars="200"/>
        <w:rPr>
          <w:rStyle w:val="17"/>
          <w:rFonts w:hint="eastAsia" w:ascii="仿宋" w:hAnsi="仿宋" w:eastAsia="仿宋"/>
          <w:b w:val="0"/>
          <w:bCs/>
          <w:color w:val="000000"/>
          <w:sz w:val="32"/>
          <w:szCs w:val="32"/>
        </w:rPr>
      </w:pPr>
      <w:r>
        <w:rPr>
          <w:rStyle w:val="17"/>
          <w:rFonts w:hint="eastAsia" w:ascii="仿宋" w:hAnsi="仿宋" w:eastAsia="仿宋"/>
          <w:bCs/>
          <w:color w:val="000000"/>
          <w:sz w:val="32"/>
          <w:szCs w:val="32"/>
        </w:rPr>
        <w:t>2</w:t>
      </w:r>
      <w:r>
        <w:rPr>
          <w:rStyle w:val="17"/>
          <w:rFonts w:ascii="仿宋" w:hAnsi="仿宋" w:eastAsia="仿宋"/>
          <w:bCs/>
          <w:color w:val="000000"/>
          <w:sz w:val="32"/>
          <w:szCs w:val="32"/>
        </w:rPr>
        <w:t>.</w:t>
      </w:r>
      <w:r>
        <w:rPr>
          <w:rStyle w:val="17"/>
          <w:rFonts w:hint="eastAsia" w:ascii="仿宋" w:hAnsi="仿宋" w:eastAsia="仿宋"/>
          <w:bCs/>
          <w:color w:val="000000"/>
          <w:sz w:val="32"/>
          <w:szCs w:val="32"/>
        </w:rPr>
        <w:t>社会保障和就业—事业单位离退休支出</w:t>
      </w:r>
      <w:r>
        <w:rPr>
          <w:rStyle w:val="17"/>
          <w:rFonts w:ascii="仿宋" w:hAnsi="仿宋" w:eastAsia="仿宋"/>
          <w:bCs/>
          <w:color w:val="000000"/>
          <w:sz w:val="32"/>
          <w:szCs w:val="32"/>
        </w:rPr>
        <w:t>:</w:t>
      </w:r>
      <w:r>
        <w:rPr>
          <w:rStyle w:val="17"/>
          <w:rFonts w:ascii="仿宋" w:hAnsi="仿宋" w:eastAsia="仿宋"/>
          <w:b w:val="0"/>
          <w:bCs/>
          <w:color w:val="000000"/>
          <w:sz w:val="32"/>
          <w:szCs w:val="32"/>
        </w:rPr>
        <w:t xml:space="preserve"> </w:t>
      </w:r>
      <w:r>
        <w:rPr>
          <w:rStyle w:val="17"/>
          <w:rFonts w:hint="eastAsia" w:ascii="仿宋" w:hAnsi="仿宋" w:eastAsia="仿宋"/>
          <w:b w:val="0"/>
          <w:bCs/>
          <w:color w:val="000000"/>
          <w:sz w:val="32"/>
          <w:szCs w:val="32"/>
        </w:rPr>
        <w:t>支出决算为2.81万元，完成预算100</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，决算数等于预算数。</w:t>
      </w:r>
    </w:p>
    <w:p>
      <w:pPr>
        <w:spacing w:line="600" w:lineRule="exact"/>
        <w:ind w:firstLine="640" w:firstLineChars="200"/>
        <w:rPr>
          <w:rStyle w:val="17"/>
          <w:rFonts w:hint="eastAsia" w:ascii="仿宋" w:hAnsi="仿宋" w:eastAsia="仿宋"/>
          <w:b w:val="0"/>
          <w:bCs/>
          <w:color w:val="000000"/>
          <w:sz w:val="32"/>
          <w:szCs w:val="32"/>
        </w:rPr>
      </w:pPr>
      <w:r>
        <w:rPr>
          <w:rStyle w:val="17"/>
          <w:rFonts w:hint="eastAsia" w:ascii="仿宋" w:hAnsi="仿宋" w:eastAsia="仿宋"/>
          <w:b w:val="0"/>
          <w:bCs/>
          <w:color w:val="000000"/>
          <w:sz w:val="32"/>
          <w:szCs w:val="32"/>
        </w:rPr>
        <w:t>3.</w:t>
      </w:r>
      <w:r>
        <w:rPr>
          <w:rStyle w:val="17"/>
          <w:rFonts w:hint="eastAsia" w:ascii="仿宋" w:hAnsi="仿宋" w:eastAsia="仿宋"/>
          <w:bCs/>
          <w:color w:val="000000"/>
          <w:sz w:val="32"/>
          <w:szCs w:val="32"/>
        </w:rPr>
        <w:t xml:space="preserve"> 社会保障和就业—机关事业单位基本养老保险缴费支出：</w:t>
      </w:r>
      <w:r>
        <w:rPr>
          <w:rStyle w:val="17"/>
          <w:rFonts w:hint="eastAsia" w:ascii="仿宋" w:hAnsi="仿宋" w:eastAsia="仿宋"/>
          <w:b w:val="0"/>
          <w:bCs/>
          <w:color w:val="000000"/>
          <w:sz w:val="32"/>
          <w:szCs w:val="32"/>
        </w:rPr>
        <w:t>支出决算为31.65万元，完成预算100</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，决算数等于预算数。</w:t>
      </w:r>
    </w:p>
    <w:p>
      <w:pPr>
        <w:spacing w:line="600" w:lineRule="exact"/>
        <w:ind w:firstLine="643" w:firstLineChars="200"/>
        <w:rPr>
          <w:rFonts w:ascii="仿宋" w:hAnsi="仿宋" w:eastAsia="仿宋"/>
          <w:b/>
          <w:color w:val="000000"/>
          <w:sz w:val="32"/>
          <w:szCs w:val="32"/>
        </w:rPr>
      </w:pPr>
      <w:r>
        <w:rPr>
          <w:rStyle w:val="17"/>
          <w:rFonts w:hint="eastAsia" w:ascii="仿宋" w:hAnsi="仿宋" w:eastAsia="仿宋"/>
          <w:bCs/>
          <w:color w:val="000000"/>
          <w:sz w:val="32"/>
          <w:szCs w:val="32"/>
        </w:rPr>
        <w:t>4</w:t>
      </w:r>
      <w:r>
        <w:rPr>
          <w:rStyle w:val="17"/>
          <w:rFonts w:ascii="仿宋" w:hAnsi="仿宋" w:eastAsia="仿宋"/>
          <w:bCs/>
          <w:color w:val="000000"/>
          <w:sz w:val="32"/>
          <w:szCs w:val="32"/>
        </w:rPr>
        <w:t>.</w:t>
      </w:r>
      <w:r>
        <w:rPr>
          <w:rFonts w:hint="eastAsia" w:ascii="仿宋" w:hAnsi="仿宋" w:eastAsia="仿宋"/>
          <w:b/>
          <w:bCs/>
          <w:color w:val="000000"/>
          <w:sz w:val="32"/>
          <w:szCs w:val="32"/>
        </w:rPr>
        <w:t>城乡社区支出—其他城乡社区公共设施支出</w:t>
      </w:r>
      <w:r>
        <w:rPr>
          <w:rStyle w:val="17"/>
          <w:rFonts w:ascii="仿宋" w:hAnsi="仿宋" w:eastAsia="仿宋"/>
          <w:bCs/>
          <w:color w:val="000000"/>
          <w:sz w:val="32"/>
          <w:szCs w:val="32"/>
        </w:rPr>
        <w:t>:</w:t>
      </w:r>
      <w:r>
        <w:rPr>
          <w:rStyle w:val="17"/>
          <w:rFonts w:hint="eastAsia" w:ascii="仿宋" w:hAnsi="仿宋" w:eastAsia="仿宋"/>
          <w:b w:val="0"/>
          <w:bCs/>
          <w:color w:val="000000"/>
          <w:sz w:val="32"/>
          <w:szCs w:val="32"/>
        </w:rPr>
        <w:t>支出决算为112.82万元，完成预算91.67</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，决算数小于预算数的主要原因是</w:t>
      </w:r>
      <w:r>
        <w:rPr>
          <w:rFonts w:hint="eastAsia" w:ascii="仿宋_GB2312" w:eastAsia="仿宋_GB2312"/>
          <w:sz w:val="32"/>
          <w:szCs w:val="32"/>
        </w:rPr>
        <w:t>当年完成竣工验收后按审核金额付款，审核金额小于合同金额</w:t>
      </w:r>
      <w:r>
        <w:rPr>
          <w:rStyle w:val="17"/>
          <w:rFonts w:hint="eastAsia" w:ascii="仿宋" w:hAnsi="仿宋" w:eastAsia="仿宋"/>
          <w:b w:val="0"/>
          <w:bCs/>
          <w:color w:val="000000"/>
          <w:sz w:val="32"/>
          <w:szCs w:val="32"/>
        </w:rPr>
        <w:t>。</w:t>
      </w:r>
    </w:p>
    <w:p>
      <w:pPr>
        <w:spacing w:line="600" w:lineRule="exact"/>
        <w:ind w:firstLine="643" w:firstLineChars="200"/>
        <w:rPr>
          <w:rStyle w:val="17"/>
          <w:rFonts w:hint="eastAsia" w:ascii="仿宋" w:hAnsi="仿宋" w:eastAsia="仿宋"/>
          <w:b w:val="0"/>
          <w:bCs/>
          <w:color w:val="000000"/>
          <w:sz w:val="32"/>
          <w:szCs w:val="32"/>
        </w:rPr>
      </w:pPr>
      <w:r>
        <w:rPr>
          <w:rStyle w:val="17"/>
          <w:rFonts w:hint="eastAsia" w:ascii="仿宋" w:hAnsi="仿宋" w:eastAsia="仿宋"/>
          <w:bCs/>
          <w:color w:val="000000"/>
          <w:sz w:val="32"/>
          <w:szCs w:val="32"/>
        </w:rPr>
        <w:t>5</w:t>
      </w:r>
      <w:r>
        <w:rPr>
          <w:rStyle w:val="17"/>
          <w:rFonts w:ascii="仿宋" w:hAnsi="仿宋" w:eastAsia="仿宋"/>
          <w:bCs/>
          <w:color w:val="000000"/>
          <w:sz w:val="32"/>
          <w:szCs w:val="32"/>
        </w:rPr>
        <w:t>.</w:t>
      </w:r>
      <w:r>
        <w:rPr>
          <w:rFonts w:hint="eastAsia" w:ascii="仿宋" w:hAnsi="仿宋" w:eastAsia="仿宋"/>
          <w:b/>
          <w:bCs/>
          <w:color w:val="000000"/>
          <w:sz w:val="32"/>
          <w:szCs w:val="32"/>
        </w:rPr>
        <w:t>农林水支出—水利工程运行与维护：</w:t>
      </w:r>
      <w:r>
        <w:rPr>
          <w:rStyle w:val="17"/>
          <w:rFonts w:hint="eastAsia" w:ascii="仿宋" w:hAnsi="仿宋" w:eastAsia="仿宋"/>
          <w:b w:val="0"/>
          <w:bCs/>
          <w:color w:val="000000"/>
          <w:sz w:val="32"/>
          <w:szCs w:val="32"/>
        </w:rPr>
        <w:t>支出决算为351.46万元，完成预算100</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，决算数等于预算数。</w:t>
      </w:r>
    </w:p>
    <w:p>
      <w:pPr>
        <w:spacing w:line="600" w:lineRule="exact"/>
        <w:ind w:firstLine="643" w:firstLineChars="200"/>
        <w:rPr>
          <w:rStyle w:val="17"/>
          <w:rFonts w:hint="eastAsia" w:ascii="仿宋" w:hAnsi="仿宋" w:eastAsia="仿宋"/>
          <w:b w:val="0"/>
          <w:bCs/>
          <w:color w:val="000000"/>
          <w:sz w:val="32"/>
          <w:szCs w:val="32"/>
        </w:rPr>
      </w:pPr>
      <w:r>
        <w:rPr>
          <w:rStyle w:val="17"/>
          <w:rFonts w:hint="eastAsia" w:ascii="仿宋" w:hAnsi="仿宋" w:eastAsia="仿宋"/>
          <w:bCs/>
          <w:color w:val="000000"/>
          <w:sz w:val="32"/>
          <w:szCs w:val="32"/>
        </w:rPr>
        <w:t>6</w:t>
      </w:r>
      <w:r>
        <w:rPr>
          <w:rStyle w:val="17"/>
          <w:rFonts w:ascii="仿宋" w:hAnsi="仿宋" w:eastAsia="仿宋"/>
          <w:bCs/>
          <w:color w:val="000000"/>
          <w:sz w:val="32"/>
          <w:szCs w:val="32"/>
        </w:rPr>
        <w:t>.</w:t>
      </w:r>
      <w:r>
        <w:rPr>
          <w:rFonts w:hint="eastAsia" w:ascii="仿宋" w:hAnsi="仿宋" w:eastAsia="仿宋"/>
          <w:b/>
          <w:bCs/>
          <w:color w:val="000000"/>
          <w:sz w:val="32"/>
          <w:szCs w:val="32"/>
        </w:rPr>
        <w:t>农林水支出—防汛：</w:t>
      </w:r>
      <w:r>
        <w:rPr>
          <w:rStyle w:val="17"/>
          <w:rFonts w:hint="eastAsia" w:ascii="仿宋" w:hAnsi="仿宋" w:eastAsia="仿宋"/>
          <w:b w:val="0"/>
          <w:bCs/>
          <w:color w:val="000000"/>
          <w:sz w:val="32"/>
          <w:szCs w:val="32"/>
        </w:rPr>
        <w:t>支出决算为39.80万元，完成预算100</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，决算数等于预算数。</w:t>
      </w:r>
    </w:p>
    <w:p>
      <w:pPr>
        <w:ind w:left="199" w:leftChars="95" w:firstLine="321" w:firstLineChars="100"/>
        <w:rPr>
          <w:rFonts w:ascii="仿宋_GB2312" w:eastAsia="仿宋_GB2312"/>
          <w:sz w:val="32"/>
          <w:szCs w:val="32"/>
        </w:rPr>
      </w:pPr>
      <w:r>
        <w:rPr>
          <w:rStyle w:val="17"/>
          <w:rFonts w:hint="eastAsia" w:ascii="仿宋" w:hAnsi="仿宋" w:eastAsia="仿宋"/>
          <w:bCs/>
          <w:color w:val="000000"/>
          <w:sz w:val="32"/>
          <w:szCs w:val="32"/>
        </w:rPr>
        <w:t>7</w:t>
      </w:r>
      <w:r>
        <w:rPr>
          <w:rStyle w:val="17"/>
          <w:rFonts w:ascii="仿宋" w:hAnsi="仿宋" w:eastAsia="仿宋"/>
          <w:bCs/>
          <w:color w:val="000000"/>
          <w:sz w:val="32"/>
          <w:szCs w:val="32"/>
        </w:rPr>
        <w:t>.</w:t>
      </w:r>
      <w:r>
        <w:rPr>
          <w:rFonts w:hint="eastAsia" w:ascii="仿宋" w:hAnsi="仿宋" w:eastAsia="仿宋"/>
          <w:b/>
          <w:bCs/>
          <w:color w:val="000000"/>
          <w:sz w:val="32"/>
          <w:szCs w:val="32"/>
        </w:rPr>
        <w:t>农林水支出—抗旱：</w:t>
      </w:r>
      <w:r>
        <w:rPr>
          <w:rStyle w:val="17"/>
          <w:rFonts w:hint="eastAsia" w:ascii="仿宋" w:hAnsi="仿宋" w:eastAsia="仿宋"/>
          <w:b w:val="0"/>
          <w:bCs/>
          <w:color w:val="000000"/>
          <w:sz w:val="32"/>
          <w:szCs w:val="32"/>
        </w:rPr>
        <w:t>支出决算为191.44万元，完成预算95.72%，决算数小于预算数的主要原因是</w:t>
      </w:r>
      <w:r>
        <w:rPr>
          <w:rFonts w:hint="eastAsia" w:ascii="仿宋_GB2312" w:eastAsia="仿宋_GB2312"/>
          <w:sz w:val="32"/>
          <w:szCs w:val="32"/>
        </w:rPr>
        <w:t>该项目已完工验收，但保证金需在第二年支付。</w:t>
      </w:r>
    </w:p>
    <w:p>
      <w:pPr>
        <w:ind w:left="199" w:leftChars="95" w:firstLine="321" w:firstLineChars="100"/>
        <w:jc w:val="left"/>
        <w:rPr>
          <w:rFonts w:hint="eastAsia" w:ascii="仿宋_GB2312" w:eastAsia="仿宋_GB2312"/>
          <w:sz w:val="32"/>
          <w:szCs w:val="32"/>
        </w:rPr>
      </w:pPr>
      <w:r>
        <w:rPr>
          <w:rStyle w:val="17"/>
          <w:rFonts w:hint="eastAsia" w:ascii="仿宋" w:hAnsi="仿宋" w:eastAsia="仿宋"/>
          <w:bCs/>
          <w:color w:val="000000"/>
          <w:sz w:val="32"/>
          <w:szCs w:val="32"/>
        </w:rPr>
        <w:t>8</w:t>
      </w:r>
      <w:r>
        <w:rPr>
          <w:rStyle w:val="17"/>
          <w:rFonts w:ascii="仿宋" w:hAnsi="仿宋" w:eastAsia="仿宋"/>
          <w:bCs/>
          <w:color w:val="000000"/>
          <w:sz w:val="32"/>
          <w:szCs w:val="32"/>
        </w:rPr>
        <w:t>.</w:t>
      </w:r>
      <w:r>
        <w:rPr>
          <w:rFonts w:hint="eastAsia" w:ascii="仿宋" w:hAnsi="仿宋" w:eastAsia="仿宋"/>
          <w:b/>
          <w:bCs/>
          <w:color w:val="000000"/>
          <w:sz w:val="32"/>
          <w:szCs w:val="32"/>
        </w:rPr>
        <w:t>农林水支出—其他水利支出：</w:t>
      </w:r>
      <w:r>
        <w:rPr>
          <w:rStyle w:val="17"/>
          <w:rFonts w:hint="eastAsia" w:ascii="仿宋" w:hAnsi="仿宋" w:eastAsia="仿宋"/>
          <w:b w:val="0"/>
          <w:bCs/>
          <w:color w:val="000000"/>
          <w:sz w:val="32"/>
          <w:szCs w:val="32"/>
        </w:rPr>
        <w:t>支出决算为264.06万元，完成预算81.82%，决算数小于预算数的主要原因是</w:t>
      </w:r>
      <w:r>
        <w:rPr>
          <w:rFonts w:hint="eastAsia" w:ascii="仿宋_GB2312" w:eastAsia="仿宋_GB2312"/>
          <w:sz w:val="32"/>
          <w:szCs w:val="32"/>
        </w:rPr>
        <w:t>项目已实施完毕，未办理竣工决算，需在2021年汛期结束后进行验收再支付剩余工程款项。</w:t>
      </w:r>
    </w:p>
    <w:p>
      <w:pPr>
        <w:spacing w:line="600" w:lineRule="exact"/>
        <w:ind w:firstLine="643" w:firstLineChars="200"/>
        <w:rPr>
          <w:rStyle w:val="17"/>
          <w:rFonts w:hint="eastAsia" w:ascii="仿宋" w:hAnsi="仿宋" w:eastAsia="仿宋"/>
          <w:b w:val="0"/>
          <w:bCs/>
          <w:color w:val="000000"/>
          <w:sz w:val="32"/>
          <w:szCs w:val="32"/>
        </w:rPr>
      </w:pPr>
      <w:r>
        <w:rPr>
          <w:rStyle w:val="17"/>
          <w:rFonts w:hint="eastAsia" w:ascii="仿宋" w:hAnsi="仿宋" w:eastAsia="仿宋"/>
          <w:bCs/>
          <w:color w:val="000000"/>
          <w:sz w:val="32"/>
          <w:szCs w:val="32"/>
        </w:rPr>
        <w:t>9.住房保障支出—住房公积金：</w:t>
      </w:r>
      <w:r>
        <w:rPr>
          <w:rStyle w:val="17"/>
          <w:rFonts w:hint="eastAsia" w:ascii="仿宋" w:hAnsi="仿宋" w:eastAsia="仿宋"/>
          <w:b w:val="0"/>
          <w:bCs/>
          <w:color w:val="000000"/>
          <w:sz w:val="32"/>
          <w:szCs w:val="32"/>
        </w:rPr>
        <w:t>支出决算为30.63万元，完成预算100</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，决算数等于预算数。</w:t>
      </w:r>
    </w:p>
    <w:p>
      <w:pPr>
        <w:spacing w:line="600" w:lineRule="exact"/>
        <w:ind w:firstLine="321" w:firstLineChars="100"/>
        <w:rPr>
          <w:rFonts w:ascii="仿宋" w:hAnsi="仿宋" w:eastAsia="仿宋"/>
          <w:b/>
          <w:color w:val="FF0000"/>
          <w:sz w:val="32"/>
          <w:szCs w:val="32"/>
        </w:rPr>
      </w:pPr>
      <w:r>
        <w:rPr>
          <w:rFonts w:hint="eastAsia" w:ascii="仿宋" w:hAnsi="仿宋" w:eastAsia="仿宋"/>
          <w:b/>
          <w:color w:val="FF0000"/>
          <w:sz w:val="32"/>
          <w:szCs w:val="32"/>
        </w:rPr>
        <w:t>（注：数据来源于财决</w:t>
      </w:r>
      <w:r>
        <w:rPr>
          <w:rFonts w:ascii="仿宋" w:hAnsi="仿宋" w:eastAsia="仿宋"/>
          <w:b/>
          <w:color w:val="FF0000"/>
          <w:sz w:val="32"/>
          <w:szCs w:val="32"/>
        </w:rPr>
        <w:t>Z01-1</w:t>
      </w:r>
      <w:r>
        <w:rPr>
          <w:rFonts w:hint="eastAsia" w:ascii="仿宋" w:hAnsi="仿宋" w:eastAsia="仿宋"/>
          <w:b/>
          <w:color w:val="FF0000"/>
          <w:sz w:val="32"/>
          <w:szCs w:val="32"/>
        </w:rPr>
        <w:t>表，罗列全部功能分类科目至项级。上述“预算”口径为</w:t>
      </w:r>
      <w:r>
        <w:rPr>
          <w:rFonts w:hint="eastAsia" w:ascii="仿宋" w:hAnsi="仿宋" w:eastAsia="仿宋"/>
          <w:b/>
          <w:color w:val="FF0000"/>
          <w:sz w:val="32"/>
          <w:szCs w:val="32"/>
          <w:highlight w:val="yellow"/>
        </w:rPr>
        <w:t>调整预算数</w:t>
      </w:r>
      <w:r>
        <w:rPr>
          <w:rFonts w:hint="eastAsia" w:ascii="仿宋" w:hAnsi="仿宋" w:eastAsia="仿宋"/>
          <w:b/>
          <w:color w:val="FF0000"/>
          <w:sz w:val="32"/>
          <w:szCs w:val="32"/>
        </w:rPr>
        <w:t>。增减变动原因为决算数</w:t>
      </w:r>
      <w:r>
        <w:rPr>
          <w:rFonts w:ascii="仿宋" w:hAnsi="仿宋" w:eastAsia="仿宋"/>
          <w:b/>
          <w:color w:val="FF0000"/>
          <w:sz w:val="32"/>
          <w:szCs w:val="32"/>
        </w:rPr>
        <w:t>&lt;</w:t>
      </w:r>
      <w:r>
        <w:rPr>
          <w:rFonts w:hint="eastAsia" w:ascii="仿宋" w:hAnsi="仿宋" w:eastAsia="仿宋"/>
          <w:b/>
          <w:color w:val="FF0000"/>
          <w:sz w:val="32"/>
          <w:szCs w:val="32"/>
        </w:rPr>
        <w:t>项级</w:t>
      </w:r>
      <w:r>
        <w:rPr>
          <w:rFonts w:ascii="仿宋" w:hAnsi="仿宋" w:eastAsia="仿宋"/>
          <w:b/>
          <w:color w:val="FF0000"/>
          <w:sz w:val="32"/>
          <w:szCs w:val="32"/>
        </w:rPr>
        <w:t>&gt;</w:t>
      </w:r>
      <w:r>
        <w:rPr>
          <w:rFonts w:hint="eastAsia" w:ascii="仿宋" w:hAnsi="仿宋" w:eastAsia="仿宋"/>
          <w:b/>
          <w:color w:val="FF0000"/>
          <w:sz w:val="32"/>
          <w:szCs w:val="32"/>
        </w:rPr>
        <w:t>和调整预算数</w:t>
      </w:r>
      <w:r>
        <w:rPr>
          <w:rFonts w:ascii="仿宋" w:hAnsi="仿宋" w:eastAsia="仿宋"/>
          <w:b/>
          <w:color w:val="FF0000"/>
          <w:sz w:val="32"/>
          <w:szCs w:val="32"/>
        </w:rPr>
        <w:t>&lt;</w:t>
      </w:r>
      <w:r>
        <w:rPr>
          <w:rFonts w:hint="eastAsia" w:ascii="仿宋" w:hAnsi="仿宋" w:eastAsia="仿宋"/>
          <w:b/>
          <w:color w:val="FF0000"/>
          <w:sz w:val="32"/>
          <w:szCs w:val="32"/>
        </w:rPr>
        <w:t>项级</w:t>
      </w:r>
      <w:r>
        <w:rPr>
          <w:rFonts w:ascii="仿宋" w:hAnsi="仿宋" w:eastAsia="仿宋"/>
          <w:b/>
          <w:color w:val="FF0000"/>
          <w:sz w:val="32"/>
          <w:szCs w:val="32"/>
        </w:rPr>
        <w:t>&gt;</w:t>
      </w:r>
      <w:r>
        <w:rPr>
          <w:rFonts w:hint="eastAsia" w:ascii="仿宋" w:hAnsi="仿宋" w:eastAsia="仿宋"/>
          <w:b/>
          <w:color w:val="FF0000"/>
          <w:sz w:val="32"/>
          <w:szCs w:val="32"/>
        </w:rPr>
        <w:t>比较，与预算数持平可以不写原因。）</w:t>
      </w:r>
    </w:p>
    <w:p>
      <w:pPr>
        <w:tabs>
          <w:tab w:val="right" w:pos="8306"/>
        </w:tabs>
        <w:spacing w:line="600" w:lineRule="exact"/>
        <w:ind w:firstLine="320" w:firstLineChars="100"/>
        <w:outlineLvl w:val="1"/>
        <w:rPr>
          <w:rStyle w:val="30"/>
        </w:rPr>
      </w:pPr>
      <w:bookmarkStart w:id="110" w:name="_Toc15396608"/>
      <w:bookmarkStart w:id="111" w:name="_Toc7432"/>
      <w:bookmarkStart w:id="112" w:name="_Toc15377214"/>
      <w:bookmarkStart w:id="113" w:name="_Toc19362"/>
      <w:bookmarkStart w:id="114" w:name="_Toc30226"/>
      <w:bookmarkStart w:id="115" w:name="_Toc14906"/>
      <w:r>
        <w:rPr>
          <w:rFonts w:hint="eastAsia" w:ascii="黑体" w:eastAsia="黑体"/>
          <w:color w:val="000000"/>
          <w:sz w:val="32"/>
          <w:szCs w:val="32"/>
        </w:rPr>
        <w:t>六</w:t>
      </w:r>
      <w:r>
        <w:rPr>
          <w:rFonts w:hint="eastAsia" w:ascii="黑体" w:eastAsia="黑体"/>
          <w:b/>
          <w:color w:val="000000"/>
          <w:sz w:val="32"/>
          <w:szCs w:val="32"/>
        </w:rPr>
        <w:t>、</w:t>
      </w:r>
      <w:r>
        <w:rPr>
          <w:rFonts w:hint="eastAsia" w:ascii="黑体" w:hAnsi="黑体" w:eastAsia="黑体"/>
          <w:b/>
          <w:color w:val="000000"/>
          <w:sz w:val="32"/>
          <w:szCs w:val="32"/>
        </w:rPr>
        <w:t>一</w:t>
      </w:r>
      <w:r>
        <w:rPr>
          <w:rStyle w:val="30"/>
          <w:rFonts w:hint="eastAsia" w:ascii="黑体" w:hAnsi="黑体" w:eastAsia="黑体"/>
          <w:b w:val="0"/>
        </w:rPr>
        <w:t>般公共预算财政拨款基本支出决算情况说明</w:t>
      </w:r>
      <w:bookmarkEnd w:id="110"/>
      <w:bookmarkEnd w:id="111"/>
      <w:bookmarkEnd w:id="112"/>
      <w:bookmarkEnd w:id="113"/>
      <w:bookmarkEnd w:id="114"/>
      <w:bookmarkEnd w:id="115"/>
      <w:r>
        <w:rPr>
          <w:rStyle w:val="30"/>
          <w:rFonts w:ascii="黑体" w:hAnsi="黑体" w:eastAsia="黑体"/>
          <w:b w:val="0"/>
        </w:rPr>
        <w:tab/>
      </w:r>
    </w:p>
    <w:p>
      <w:pPr>
        <w:spacing w:line="600" w:lineRule="exact"/>
        <w:ind w:firstLine="645"/>
        <w:rPr>
          <w:rFonts w:ascii="仿宋" w:hAnsi="仿宋" w:eastAsia="仿宋"/>
          <w:color w:val="000000"/>
          <w:sz w:val="32"/>
          <w:szCs w:val="32"/>
        </w:rPr>
      </w:pPr>
      <w:r>
        <w:rPr>
          <w:rFonts w:ascii="仿宋" w:hAnsi="仿宋" w:eastAsia="仿宋"/>
          <w:color w:val="000000"/>
          <w:sz w:val="32"/>
          <w:szCs w:val="32"/>
        </w:rPr>
        <w:t>2020</w:t>
      </w:r>
      <w:r>
        <w:rPr>
          <w:rFonts w:hint="eastAsia" w:ascii="仿宋" w:hAnsi="仿宋" w:eastAsia="仿宋"/>
          <w:color w:val="000000"/>
          <w:sz w:val="32"/>
          <w:szCs w:val="32"/>
        </w:rPr>
        <w:t>年一般公共预算财政拨款基本支出418.79万元，其中：</w:t>
      </w:r>
    </w:p>
    <w:p>
      <w:pPr>
        <w:spacing w:line="600" w:lineRule="exact"/>
        <w:ind w:firstLine="645"/>
        <w:rPr>
          <w:rFonts w:ascii="仿宋" w:hAnsi="仿宋" w:eastAsia="仿宋"/>
          <w:color w:val="000000"/>
          <w:sz w:val="32"/>
          <w:szCs w:val="32"/>
        </w:rPr>
      </w:pPr>
      <w:r>
        <w:rPr>
          <w:rFonts w:hint="eastAsia" w:ascii="仿宋" w:hAnsi="仿宋" w:eastAsia="仿宋"/>
          <w:color w:val="000000"/>
          <w:sz w:val="32"/>
          <w:szCs w:val="32"/>
        </w:rPr>
        <w:t>人员经费374.80万元，主要包括：基本工资101.45万元、津贴补贴27.02万元、绩效工资141.23万元、机关事业单位基本养老保险缴费31.65万元、职工基本医疗保险缴费19.14万元、公务员医疗补助缴费2.00万元、其他社会保障缴费4.08万元、其他工资福利支出13.00万元、 退休费4.58万元、 住房公积金30.63万元、其他对个人和家庭的补助支出等。</w:t>
      </w:r>
      <w:r>
        <w:rPr>
          <w:rFonts w:ascii="仿宋" w:hAnsi="仿宋" w:eastAsia="仿宋"/>
          <w:color w:val="000000"/>
          <w:sz w:val="32"/>
          <w:szCs w:val="32"/>
        </w:rPr>
        <w:br w:type="textWrapping"/>
      </w:r>
      <w:r>
        <w:rPr>
          <w:rFonts w:hint="eastAsia" w:ascii="仿宋" w:hAnsi="仿宋" w:eastAsia="仿宋"/>
          <w:color w:val="000000"/>
          <w:sz w:val="32"/>
          <w:szCs w:val="32"/>
        </w:rPr>
        <w:t>　　日常公用经费43.99万元，主要包括：办公费2.75万元、印刷费0.37万元、水费0.6万元、电费1.71万元、邮电费1.21万元、差旅费3.13万元、维修（护）费0.48万元、培训费1.18万元、公务接待费0.47万元、工会经费5.14万元、福利费14.41万元、公务用车运行维护费3.54万元、其他商品和服务支出8.99万元等。</w:t>
      </w:r>
    </w:p>
    <w:p>
      <w:pPr>
        <w:spacing w:line="600" w:lineRule="exact"/>
        <w:ind w:firstLine="645"/>
        <w:rPr>
          <w:rFonts w:ascii="仿宋" w:hAnsi="仿宋" w:eastAsia="仿宋"/>
          <w:b/>
          <w:color w:val="FF0000"/>
          <w:sz w:val="32"/>
          <w:szCs w:val="32"/>
        </w:rPr>
      </w:pPr>
      <w:r>
        <w:rPr>
          <w:rFonts w:hint="eastAsia" w:ascii="仿宋" w:hAnsi="仿宋" w:eastAsia="仿宋"/>
          <w:b/>
          <w:color w:val="FF0000"/>
          <w:sz w:val="32"/>
          <w:szCs w:val="32"/>
        </w:rPr>
        <w:t>（注：数据来源于财决</w:t>
      </w:r>
      <w:r>
        <w:rPr>
          <w:rFonts w:ascii="仿宋" w:hAnsi="仿宋" w:eastAsia="仿宋"/>
          <w:b/>
          <w:color w:val="FF0000"/>
          <w:sz w:val="32"/>
          <w:szCs w:val="32"/>
        </w:rPr>
        <w:t>07</w:t>
      </w:r>
      <w:r>
        <w:rPr>
          <w:rFonts w:hint="eastAsia" w:ascii="仿宋" w:hAnsi="仿宋" w:eastAsia="仿宋"/>
          <w:b/>
          <w:color w:val="FF0000"/>
          <w:sz w:val="32"/>
          <w:szCs w:val="32"/>
        </w:rPr>
        <w:t>表，根据本部门实际支出情况罗列全部经济分类科目。）</w:t>
      </w:r>
    </w:p>
    <w:p>
      <w:pPr>
        <w:spacing w:line="600" w:lineRule="exact"/>
        <w:ind w:firstLine="640" w:firstLineChars="200"/>
        <w:outlineLvl w:val="1"/>
        <w:rPr>
          <w:rStyle w:val="30"/>
          <w:rFonts w:ascii="黑体" w:hAnsi="黑体" w:eastAsia="黑体"/>
          <w:b w:val="0"/>
        </w:rPr>
      </w:pPr>
      <w:bookmarkStart w:id="116" w:name="_Toc15377215"/>
      <w:bookmarkStart w:id="117" w:name="_Toc31801"/>
      <w:bookmarkStart w:id="118" w:name="_Toc1436"/>
      <w:bookmarkStart w:id="119" w:name="_Toc25900"/>
      <w:bookmarkStart w:id="120" w:name="_Toc18456"/>
      <w:bookmarkStart w:id="121" w:name="_Toc15396609"/>
      <w:r>
        <w:rPr>
          <w:rFonts w:hint="eastAsia" w:ascii="黑体" w:eastAsia="黑体"/>
          <w:color w:val="000000"/>
          <w:sz w:val="32"/>
          <w:szCs w:val="32"/>
        </w:rPr>
        <w:t>七、</w:t>
      </w:r>
      <w:r>
        <w:rPr>
          <w:rStyle w:val="30"/>
          <w:rFonts w:hint="eastAsia" w:ascii="黑体" w:hAnsi="黑体" w:eastAsia="黑体"/>
        </w:rPr>
        <w:t>“</w:t>
      </w:r>
      <w:r>
        <w:rPr>
          <w:rStyle w:val="30"/>
          <w:rFonts w:hint="eastAsia" w:ascii="黑体" w:hAnsi="黑体" w:eastAsia="黑体"/>
          <w:b w:val="0"/>
        </w:rPr>
        <w:t>三公”经费财政拨款支出决算情况说明</w:t>
      </w:r>
      <w:bookmarkEnd w:id="116"/>
      <w:bookmarkEnd w:id="117"/>
      <w:bookmarkEnd w:id="118"/>
      <w:bookmarkEnd w:id="119"/>
      <w:bookmarkEnd w:id="120"/>
      <w:bookmarkEnd w:id="121"/>
    </w:p>
    <w:p>
      <w:pPr>
        <w:spacing w:line="600" w:lineRule="exact"/>
        <w:ind w:firstLine="640"/>
        <w:outlineLvl w:val="2"/>
        <w:rPr>
          <w:rFonts w:ascii="仿宋" w:hAnsi="仿宋" w:eastAsia="仿宋"/>
          <w:b/>
          <w:color w:val="000000"/>
          <w:sz w:val="32"/>
          <w:szCs w:val="32"/>
        </w:rPr>
      </w:pPr>
      <w:bookmarkStart w:id="122" w:name="_Toc15377216"/>
      <w:bookmarkStart w:id="123" w:name="_Toc28508"/>
      <w:bookmarkStart w:id="124" w:name="_Toc19236"/>
      <w:r>
        <w:rPr>
          <w:rFonts w:hint="eastAsia" w:ascii="仿宋" w:hAnsi="仿宋" w:eastAsia="仿宋"/>
          <w:b/>
          <w:color w:val="000000"/>
          <w:sz w:val="32"/>
          <w:szCs w:val="32"/>
        </w:rPr>
        <w:t>（一）“三公”经费财政拨款支出决算总体情况说明</w:t>
      </w:r>
      <w:bookmarkEnd w:id="122"/>
      <w:bookmarkEnd w:id="123"/>
      <w:bookmarkEnd w:id="124"/>
    </w:p>
    <w:p>
      <w:pPr>
        <w:spacing w:line="600" w:lineRule="exact"/>
        <w:ind w:firstLine="640"/>
        <w:rPr>
          <w:rFonts w:ascii="仿宋" w:hAnsi="仿宋" w:eastAsia="仿宋"/>
          <w:color w:val="000000"/>
          <w:sz w:val="32"/>
          <w:szCs w:val="32"/>
        </w:rPr>
      </w:pPr>
      <w:r>
        <w:rPr>
          <w:rFonts w:ascii="仿宋" w:hAnsi="仿宋" w:eastAsia="仿宋"/>
          <w:color w:val="000000"/>
          <w:sz w:val="32"/>
          <w:szCs w:val="32"/>
        </w:rPr>
        <w:t>2020</w:t>
      </w:r>
      <w:r>
        <w:rPr>
          <w:rFonts w:hint="eastAsia" w:ascii="仿宋" w:hAnsi="仿宋" w:eastAsia="仿宋"/>
          <w:color w:val="000000"/>
          <w:sz w:val="32"/>
          <w:szCs w:val="32"/>
        </w:rPr>
        <w:t>年“三公”经费财政拨款支出决算为4.01万元，完成预算53.25</w:t>
      </w:r>
      <w:r>
        <w:rPr>
          <w:rFonts w:ascii="仿宋" w:hAnsi="仿宋" w:eastAsia="仿宋"/>
          <w:color w:val="000000"/>
          <w:sz w:val="32"/>
          <w:szCs w:val="32"/>
        </w:rPr>
        <w:t>%</w:t>
      </w:r>
      <w:r>
        <w:rPr>
          <w:rFonts w:hint="eastAsia" w:ascii="仿宋" w:hAnsi="仿宋" w:eastAsia="仿宋"/>
          <w:color w:val="000000"/>
          <w:sz w:val="32"/>
          <w:szCs w:val="32"/>
        </w:rPr>
        <w:t>，决算数小于预算数的主要原因是公务用车修理费未结账。</w:t>
      </w:r>
    </w:p>
    <w:p>
      <w:pPr>
        <w:spacing w:line="600" w:lineRule="exact"/>
        <w:ind w:firstLine="640"/>
        <w:rPr>
          <w:rFonts w:ascii="仿宋" w:hAnsi="仿宋" w:eastAsia="仿宋"/>
          <w:b/>
          <w:color w:val="FF0000"/>
          <w:sz w:val="32"/>
          <w:szCs w:val="32"/>
        </w:rPr>
      </w:pPr>
      <w:r>
        <w:rPr>
          <w:rFonts w:hint="eastAsia" w:ascii="仿宋" w:hAnsi="仿宋" w:eastAsia="仿宋"/>
          <w:b/>
          <w:color w:val="FF0000"/>
          <w:sz w:val="32"/>
          <w:szCs w:val="32"/>
        </w:rPr>
        <w:t>（注：上述“预算”口径为调整预算数，包括政府性基金支出决算情况。）</w:t>
      </w:r>
    </w:p>
    <w:p>
      <w:pPr>
        <w:spacing w:line="600" w:lineRule="exact"/>
        <w:ind w:firstLine="640"/>
        <w:outlineLvl w:val="2"/>
        <w:rPr>
          <w:rFonts w:ascii="仿宋" w:hAnsi="仿宋" w:eastAsia="仿宋"/>
          <w:b/>
          <w:color w:val="000000"/>
          <w:sz w:val="32"/>
          <w:szCs w:val="32"/>
        </w:rPr>
      </w:pPr>
      <w:bookmarkStart w:id="125" w:name="_Toc15377217"/>
      <w:bookmarkStart w:id="126" w:name="_Toc11777"/>
      <w:bookmarkStart w:id="127" w:name="_Toc28851"/>
      <w:r>
        <w:rPr>
          <w:rFonts w:hint="eastAsia" w:ascii="仿宋" w:hAnsi="仿宋" w:eastAsia="仿宋"/>
          <w:b/>
          <w:color w:val="000000"/>
          <w:sz w:val="32"/>
          <w:szCs w:val="32"/>
        </w:rPr>
        <w:t>（二）“三公”经费财政拨款支出决算具体情况说明</w:t>
      </w:r>
      <w:bookmarkEnd w:id="125"/>
      <w:bookmarkEnd w:id="126"/>
      <w:bookmarkEnd w:id="127"/>
    </w:p>
    <w:p>
      <w:pPr>
        <w:spacing w:line="600" w:lineRule="exact"/>
        <w:ind w:firstLine="640"/>
        <w:rPr>
          <w:rFonts w:hint="eastAsia" w:ascii="仿宋" w:hAnsi="仿宋" w:eastAsia="仿宋"/>
          <w:color w:val="000000"/>
          <w:sz w:val="32"/>
          <w:szCs w:val="32"/>
        </w:rPr>
      </w:pPr>
      <w:r>
        <w:rPr>
          <w:rFonts w:ascii="仿宋" w:hAnsi="仿宋" w:eastAsia="仿宋"/>
          <w:color w:val="000000"/>
          <w:sz w:val="32"/>
          <w:szCs w:val="32"/>
        </w:rPr>
        <w:t>2020</w:t>
      </w:r>
      <w:r>
        <w:rPr>
          <w:rFonts w:hint="eastAsia" w:ascii="仿宋" w:hAnsi="仿宋" w:eastAsia="仿宋"/>
          <w:color w:val="000000"/>
          <w:sz w:val="32"/>
          <w:szCs w:val="32"/>
        </w:rPr>
        <w:t>年“三公”经费财政拨款支出决算中，因公出国（境）费支出决算0万元，占0</w:t>
      </w:r>
      <w:r>
        <w:rPr>
          <w:rFonts w:ascii="仿宋" w:hAnsi="仿宋" w:eastAsia="仿宋"/>
          <w:color w:val="000000"/>
          <w:sz w:val="32"/>
          <w:szCs w:val="32"/>
        </w:rPr>
        <w:t>%</w:t>
      </w:r>
      <w:r>
        <w:rPr>
          <w:rFonts w:hint="eastAsia" w:ascii="仿宋" w:hAnsi="仿宋" w:eastAsia="仿宋"/>
          <w:color w:val="000000"/>
          <w:sz w:val="32"/>
          <w:szCs w:val="32"/>
        </w:rPr>
        <w:t>；公务用车购置及运行维护费支出决算3.54万元，占88.28</w:t>
      </w:r>
      <w:r>
        <w:rPr>
          <w:rFonts w:ascii="仿宋" w:hAnsi="仿宋" w:eastAsia="仿宋"/>
          <w:color w:val="000000"/>
          <w:sz w:val="32"/>
          <w:szCs w:val="32"/>
        </w:rPr>
        <w:t>%</w:t>
      </w:r>
      <w:r>
        <w:rPr>
          <w:rFonts w:hint="eastAsia" w:ascii="仿宋" w:hAnsi="仿宋" w:eastAsia="仿宋"/>
          <w:color w:val="000000"/>
          <w:sz w:val="32"/>
          <w:szCs w:val="32"/>
        </w:rPr>
        <w:t>；公务接待费支出决算0.47万元，占11.72</w:t>
      </w:r>
      <w:r>
        <w:rPr>
          <w:rFonts w:ascii="仿宋" w:hAnsi="仿宋" w:eastAsia="仿宋"/>
          <w:color w:val="000000"/>
          <w:sz w:val="32"/>
          <w:szCs w:val="32"/>
        </w:rPr>
        <w:t>%</w:t>
      </w:r>
      <w:r>
        <w:rPr>
          <w:rFonts w:hint="eastAsia" w:ascii="仿宋" w:hAnsi="仿宋" w:eastAsia="仿宋"/>
          <w:color w:val="000000"/>
          <w:sz w:val="32"/>
          <w:szCs w:val="32"/>
        </w:rPr>
        <w:t>。具体情况如下：</w:t>
      </w:r>
    </w:p>
    <w:p>
      <w:pPr>
        <w:spacing w:line="720" w:lineRule="auto"/>
        <w:ind w:firstLine="641"/>
        <w:rPr>
          <w:rFonts w:hint="eastAsia" w:ascii="仿宋" w:hAnsi="仿宋" w:eastAsia="仿宋"/>
          <w:color w:val="000000"/>
          <w:sz w:val="32"/>
          <w:szCs w:val="32"/>
        </w:rPr>
      </w:pPr>
      <w:r>
        <w:rPr>
          <w:rFonts w:hint="eastAsia" w:ascii="仿宋" w:hAnsi="仿宋" w:eastAsia="仿宋"/>
          <w:color w:val="000000"/>
          <w:sz w:val="32"/>
          <w:szCs w:val="32"/>
        </w:rPr>
        <w:drawing>
          <wp:inline distT="0" distB="0" distL="0" distR="0">
            <wp:extent cx="5267325" cy="3067050"/>
            <wp:effectExtent l="0" t="0" r="0" b="0"/>
            <wp:docPr id="7" name="图片 7" descr="1634093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409378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67325" cy="3067050"/>
                    </a:xfrm>
                    <a:prstGeom prst="rect">
                      <a:avLst/>
                    </a:prstGeom>
                    <a:noFill/>
                    <a:ln>
                      <a:noFill/>
                    </a:ln>
                  </pic:spPr>
                </pic:pic>
              </a:graphicData>
            </a:graphic>
          </wp:inline>
        </w:drawing>
      </w:r>
    </w:p>
    <w:p>
      <w:pPr>
        <w:spacing w:line="600" w:lineRule="exact"/>
        <w:ind w:firstLine="640"/>
        <w:rPr>
          <w:rFonts w:ascii="仿宋" w:hAnsi="仿宋" w:eastAsia="仿宋"/>
          <w:color w:val="000000"/>
          <w:sz w:val="32"/>
          <w:szCs w:val="32"/>
        </w:rPr>
      </w:pPr>
      <w:r>
        <w:rPr>
          <w:rFonts w:hint="eastAsia" w:ascii="仿宋" w:hAnsi="仿宋" w:eastAsia="仿宋"/>
          <w:color w:val="000000"/>
          <w:sz w:val="32"/>
          <w:szCs w:val="32"/>
        </w:rPr>
        <w:t>（图</w:t>
      </w:r>
      <w:r>
        <w:rPr>
          <w:rFonts w:ascii="仿宋" w:hAnsi="仿宋" w:eastAsia="仿宋"/>
          <w:color w:val="000000"/>
          <w:sz w:val="32"/>
          <w:szCs w:val="32"/>
        </w:rPr>
        <w:t>7</w:t>
      </w:r>
      <w:r>
        <w:rPr>
          <w:rFonts w:hint="eastAsia" w:ascii="仿宋" w:hAnsi="仿宋" w:eastAsia="仿宋"/>
          <w:color w:val="000000"/>
          <w:sz w:val="32"/>
          <w:szCs w:val="32"/>
        </w:rPr>
        <w:t>：“三公”经费财政拨款支出结构）（饼状图）</w:t>
      </w:r>
    </w:p>
    <w:p>
      <w:pPr>
        <w:spacing w:line="600" w:lineRule="exact"/>
        <w:ind w:firstLine="640"/>
        <w:rPr>
          <w:rFonts w:hint="eastAsia" w:ascii="仿宋_GB2312" w:eastAsia="仿宋_GB2312"/>
          <w:color w:val="000000"/>
          <w:sz w:val="32"/>
          <w:szCs w:val="32"/>
        </w:rPr>
      </w:pPr>
      <w:r>
        <w:rPr>
          <w:rFonts w:ascii="仿宋_GB2312" w:eastAsia="仿宋_GB2312"/>
          <w:b/>
          <w:color w:val="000000"/>
          <w:sz w:val="32"/>
          <w:szCs w:val="32"/>
        </w:rPr>
        <w:t>1.</w:t>
      </w:r>
      <w:r>
        <w:rPr>
          <w:rFonts w:hint="eastAsia" w:ascii="仿宋_GB2312" w:eastAsia="仿宋_GB2312"/>
          <w:b/>
          <w:color w:val="000000"/>
          <w:sz w:val="32"/>
          <w:szCs w:val="32"/>
        </w:rPr>
        <w:t>因公出国（境）经费支出0</w:t>
      </w:r>
      <w:r>
        <w:rPr>
          <w:rFonts w:hint="eastAsia" w:ascii="仿宋_GB2312" w:eastAsia="仿宋_GB2312"/>
          <w:color w:val="000000"/>
          <w:sz w:val="32"/>
          <w:szCs w:val="32"/>
        </w:rPr>
        <w:t>万元，无预算。</w:t>
      </w:r>
    </w:p>
    <w:p>
      <w:pPr>
        <w:spacing w:line="600" w:lineRule="exact"/>
        <w:ind w:firstLine="640"/>
        <w:rPr>
          <w:rFonts w:ascii="仿宋_GB2312" w:eastAsia="仿宋_GB2312"/>
          <w:b/>
          <w:color w:val="000000"/>
          <w:sz w:val="32"/>
          <w:szCs w:val="32"/>
        </w:rPr>
      </w:pPr>
      <w:r>
        <w:rPr>
          <w:rFonts w:ascii="仿宋_GB2312" w:eastAsia="仿宋_GB2312"/>
          <w:b/>
          <w:color w:val="000000"/>
          <w:sz w:val="32"/>
          <w:szCs w:val="32"/>
        </w:rPr>
        <w:t>2.</w:t>
      </w:r>
      <w:r>
        <w:rPr>
          <w:rFonts w:hint="eastAsia" w:ascii="仿宋_GB2312" w:eastAsia="仿宋_GB2312"/>
          <w:b/>
          <w:color w:val="000000"/>
          <w:sz w:val="32"/>
          <w:szCs w:val="32"/>
        </w:rPr>
        <w:t>公务用车购置及运行维护费支出</w:t>
      </w:r>
      <w:r>
        <w:rPr>
          <w:rFonts w:hint="eastAsia" w:ascii="仿宋_GB2312" w:eastAsia="仿宋_GB2312"/>
          <w:color w:val="000000"/>
          <w:sz w:val="32"/>
          <w:szCs w:val="32"/>
        </w:rPr>
        <w:t>3.54万元</w:t>
      </w:r>
      <w:r>
        <w:rPr>
          <w:rFonts w:ascii="仿宋_GB2312" w:eastAsia="仿宋_GB2312"/>
          <w:color w:val="000000"/>
          <w:sz w:val="32"/>
          <w:szCs w:val="32"/>
        </w:rPr>
        <w:t>,</w:t>
      </w:r>
      <w:r>
        <w:rPr>
          <w:rStyle w:val="17"/>
          <w:rFonts w:hint="eastAsia" w:ascii="仿宋" w:hAnsi="仿宋" w:eastAsia="仿宋"/>
          <w:b w:val="0"/>
          <w:bCs/>
          <w:color w:val="000000"/>
          <w:sz w:val="32"/>
          <w:szCs w:val="32"/>
        </w:rPr>
        <w:t>完成预算52</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w:t>
      </w:r>
      <w:r>
        <w:rPr>
          <w:rFonts w:hint="eastAsia" w:ascii="仿宋_GB2312" w:eastAsia="仿宋_GB2312"/>
          <w:color w:val="000000"/>
          <w:sz w:val="32"/>
          <w:szCs w:val="32"/>
        </w:rPr>
        <w:t>公务用车购置及运行维护费支出决算比</w:t>
      </w:r>
      <w:r>
        <w:rPr>
          <w:rFonts w:ascii="仿宋_GB2312" w:eastAsia="仿宋_GB2312"/>
          <w:color w:val="000000"/>
          <w:sz w:val="32"/>
          <w:szCs w:val="32"/>
        </w:rPr>
        <w:t>201</w:t>
      </w:r>
      <w:r>
        <w:rPr>
          <w:rFonts w:hint="eastAsia" w:ascii="仿宋_GB2312" w:eastAsia="仿宋_GB2312"/>
          <w:color w:val="000000"/>
          <w:sz w:val="32"/>
          <w:szCs w:val="32"/>
        </w:rPr>
        <w:t>9年减少2.51万元，下降41.45</w:t>
      </w:r>
      <w:r>
        <w:rPr>
          <w:rFonts w:ascii="仿宋_GB2312" w:eastAsia="仿宋_GB2312"/>
          <w:color w:val="000000"/>
          <w:sz w:val="32"/>
          <w:szCs w:val="32"/>
        </w:rPr>
        <w:t>%</w:t>
      </w:r>
      <w:r>
        <w:rPr>
          <w:rFonts w:hint="eastAsia" w:ascii="仿宋_GB2312" w:eastAsia="仿宋_GB2312"/>
          <w:color w:val="000000"/>
          <w:sz w:val="32"/>
          <w:szCs w:val="32"/>
        </w:rPr>
        <w:t>。主要原因是年底修理费未结账付款。</w:t>
      </w:r>
    </w:p>
    <w:p>
      <w:pPr>
        <w:spacing w:line="600" w:lineRule="exact"/>
        <w:ind w:firstLine="640" w:firstLineChars="200"/>
        <w:rPr>
          <w:rFonts w:ascii="仿宋_GB2312" w:eastAsia="仿宋_GB2312"/>
          <w:b/>
          <w:color w:val="000000"/>
          <w:sz w:val="32"/>
          <w:szCs w:val="32"/>
        </w:rPr>
      </w:pPr>
      <w:r>
        <w:rPr>
          <w:rFonts w:hint="eastAsia" w:ascii="仿宋_GB2312" w:eastAsia="仿宋_GB2312"/>
          <w:color w:val="000000"/>
          <w:sz w:val="32"/>
          <w:szCs w:val="32"/>
        </w:rPr>
        <w:t>其中：</w:t>
      </w:r>
      <w:r>
        <w:rPr>
          <w:rFonts w:hint="eastAsia" w:ascii="仿宋_GB2312" w:eastAsia="仿宋_GB2312"/>
          <w:b/>
          <w:color w:val="000000"/>
          <w:sz w:val="32"/>
          <w:szCs w:val="32"/>
        </w:rPr>
        <w:t>公务用车购置支出</w:t>
      </w:r>
      <w:r>
        <w:rPr>
          <w:rFonts w:hint="eastAsia" w:ascii="仿宋_GB2312" w:eastAsia="仿宋_GB2312"/>
          <w:color w:val="000000"/>
          <w:sz w:val="32"/>
          <w:szCs w:val="32"/>
        </w:rPr>
        <w:t>0万元。截至</w:t>
      </w:r>
      <w:r>
        <w:rPr>
          <w:rFonts w:ascii="仿宋_GB2312" w:eastAsia="仿宋_GB2312"/>
          <w:color w:val="000000"/>
          <w:sz w:val="32"/>
          <w:szCs w:val="32"/>
        </w:rPr>
        <w:t>2020</w:t>
      </w:r>
      <w:r>
        <w:rPr>
          <w:rFonts w:hint="eastAsia" w:ascii="仿宋_GB2312" w:eastAsia="仿宋_GB2312"/>
          <w:color w:val="000000"/>
          <w:sz w:val="32"/>
          <w:szCs w:val="32"/>
        </w:rPr>
        <w:t>年</w:t>
      </w:r>
      <w:r>
        <w:rPr>
          <w:rFonts w:ascii="仿宋_GB2312" w:eastAsia="仿宋_GB2312"/>
          <w:color w:val="000000"/>
          <w:sz w:val="32"/>
          <w:szCs w:val="32"/>
        </w:rPr>
        <w:t>12</w:t>
      </w:r>
      <w:r>
        <w:rPr>
          <w:rFonts w:hint="eastAsia" w:ascii="仿宋_GB2312" w:eastAsia="仿宋_GB2312"/>
          <w:color w:val="000000"/>
          <w:sz w:val="32"/>
          <w:szCs w:val="32"/>
        </w:rPr>
        <w:t>月底，单位共有公务用车3辆，其中：轿车1辆、特种专业技术用车2辆</w:t>
      </w:r>
    </w:p>
    <w:p>
      <w:pPr>
        <w:spacing w:line="600" w:lineRule="exact"/>
        <w:ind w:firstLine="640"/>
        <w:rPr>
          <w:rFonts w:ascii="仿宋_GB2312" w:eastAsia="仿宋_GB2312"/>
          <w:color w:val="000000"/>
          <w:sz w:val="32"/>
          <w:szCs w:val="32"/>
        </w:rPr>
      </w:pPr>
      <w:r>
        <w:rPr>
          <w:rFonts w:hint="eastAsia" w:ascii="仿宋_GB2312" w:eastAsia="仿宋_GB2312"/>
          <w:b/>
          <w:color w:val="000000"/>
          <w:sz w:val="32"/>
          <w:szCs w:val="32"/>
        </w:rPr>
        <w:t>公务用车运行维护费支出</w:t>
      </w:r>
      <w:r>
        <w:rPr>
          <w:rFonts w:hint="eastAsia" w:ascii="仿宋_GB2312" w:eastAsia="仿宋_GB2312"/>
          <w:color w:val="000000"/>
          <w:sz w:val="32"/>
          <w:szCs w:val="32"/>
        </w:rPr>
        <w:t>3.57万元。主要用于水库渠道巡查等所需的公务用车燃料费、维修费、过路过桥费、保险费等支出。</w:t>
      </w:r>
    </w:p>
    <w:p>
      <w:pPr>
        <w:spacing w:line="600" w:lineRule="exact"/>
        <w:ind w:firstLine="640"/>
        <w:rPr>
          <w:rFonts w:ascii="仿宋_GB2312" w:eastAsia="仿宋_GB2312"/>
          <w:color w:val="000000"/>
          <w:sz w:val="32"/>
          <w:szCs w:val="32"/>
        </w:rPr>
      </w:pPr>
      <w:r>
        <w:rPr>
          <w:rFonts w:ascii="仿宋_GB2312" w:eastAsia="仿宋_GB2312"/>
          <w:b/>
          <w:color w:val="000000"/>
          <w:sz w:val="32"/>
          <w:szCs w:val="32"/>
        </w:rPr>
        <w:t>3.</w:t>
      </w:r>
      <w:r>
        <w:rPr>
          <w:rFonts w:hint="eastAsia" w:ascii="仿宋_GB2312" w:eastAsia="仿宋_GB2312"/>
          <w:b/>
          <w:color w:val="000000"/>
          <w:sz w:val="32"/>
          <w:szCs w:val="32"/>
        </w:rPr>
        <w:t>公务接待费支出</w:t>
      </w:r>
      <w:r>
        <w:rPr>
          <w:rFonts w:hint="eastAsia" w:ascii="仿宋_GB2312" w:eastAsia="仿宋_GB2312"/>
          <w:color w:val="000000"/>
          <w:sz w:val="32"/>
          <w:szCs w:val="32"/>
        </w:rPr>
        <w:t>0.46万元，</w:t>
      </w:r>
      <w:r>
        <w:rPr>
          <w:rStyle w:val="17"/>
          <w:rFonts w:hint="eastAsia" w:ascii="仿宋" w:hAnsi="仿宋" w:eastAsia="仿宋"/>
          <w:b w:val="0"/>
          <w:bCs/>
          <w:color w:val="000000"/>
          <w:sz w:val="32"/>
          <w:szCs w:val="32"/>
        </w:rPr>
        <w:t>完成预算67</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w:t>
      </w:r>
      <w:r>
        <w:rPr>
          <w:rFonts w:hint="eastAsia" w:ascii="仿宋_GB2312" w:eastAsia="仿宋_GB2312"/>
          <w:color w:val="000000"/>
          <w:sz w:val="32"/>
          <w:szCs w:val="32"/>
        </w:rPr>
        <w:t>公务接待费支出决算比</w:t>
      </w:r>
      <w:r>
        <w:rPr>
          <w:rFonts w:ascii="仿宋_GB2312" w:eastAsia="仿宋_GB2312"/>
          <w:color w:val="000000"/>
          <w:sz w:val="32"/>
          <w:szCs w:val="32"/>
        </w:rPr>
        <w:t>2019</w:t>
      </w:r>
      <w:r>
        <w:rPr>
          <w:rFonts w:hint="eastAsia" w:ascii="仿宋_GB2312" w:eastAsia="仿宋_GB2312"/>
          <w:color w:val="000000"/>
          <w:sz w:val="32"/>
          <w:szCs w:val="32"/>
        </w:rPr>
        <w:t>年增加0.37万元，增长369.7</w:t>
      </w:r>
      <w:r>
        <w:rPr>
          <w:rFonts w:ascii="仿宋_GB2312" w:eastAsia="仿宋_GB2312"/>
          <w:color w:val="000000"/>
          <w:sz w:val="32"/>
          <w:szCs w:val="32"/>
        </w:rPr>
        <w:t>%</w:t>
      </w:r>
      <w:r>
        <w:rPr>
          <w:rFonts w:hint="eastAsia" w:ascii="仿宋_GB2312" w:eastAsia="仿宋_GB2312"/>
          <w:color w:val="000000"/>
          <w:sz w:val="32"/>
          <w:szCs w:val="32"/>
        </w:rPr>
        <w:t>。主要原因是</w:t>
      </w:r>
      <w:r>
        <w:rPr>
          <w:rFonts w:hint="eastAsia" w:eastAsia="仿宋_GB2312"/>
          <w:sz w:val="32"/>
          <w:szCs w:val="32"/>
        </w:rPr>
        <w:t>为了加强水利部门业务交流讨论学习，更好的开展工作，使水利管理工作上一个新的台阶</w:t>
      </w:r>
      <w:r>
        <w:rPr>
          <w:rFonts w:hint="eastAsia" w:ascii="仿宋_GB2312" w:eastAsia="仿宋_GB2312"/>
          <w:color w:val="000000"/>
          <w:sz w:val="32"/>
          <w:szCs w:val="32"/>
        </w:rPr>
        <w:t>其中：</w:t>
      </w:r>
    </w:p>
    <w:p>
      <w:pPr>
        <w:spacing w:line="600" w:lineRule="exact"/>
        <w:ind w:firstLine="640"/>
        <w:rPr>
          <w:rFonts w:ascii="仿宋_GB2312" w:eastAsia="仿宋_GB2312"/>
          <w:color w:val="000000"/>
          <w:sz w:val="32"/>
          <w:szCs w:val="32"/>
        </w:rPr>
      </w:pPr>
      <w:r>
        <w:rPr>
          <w:rFonts w:hint="eastAsia" w:ascii="仿宋" w:hAnsi="仿宋" w:eastAsia="仿宋"/>
          <w:b/>
          <w:color w:val="000000"/>
          <w:sz w:val="32"/>
          <w:szCs w:val="32"/>
        </w:rPr>
        <w:t>国内公务接待支出</w:t>
      </w:r>
      <w:r>
        <w:rPr>
          <w:rFonts w:hint="eastAsia" w:ascii="仿宋" w:hAnsi="仿宋" w:eastAsia="仿宋"/>
          <w:color w:val="000000"/>
          <w:sz w:val="32"/>
          <w:szCs w:val="32"/>
        </w:rPr>
        <w:t>0.46</w:t>
      </w:r>
      <w:r>
        <w:rPr>
          <w:rFonts w:hint="eastAsia" w:ascii="仿宋_GB2312" w:eastAsia="仿宋_GB2312"/>
          <w:color w:val="000000"/>
          <w:sz w:val="32"/>
          <w:szCs w:val="32"/>
        </w:rPr>
        <w:t>万元，主要用于用餐费。国内公务接待4批次，17人次（不包括陪同人员），共计支出0.46万元，具体内容包括：</w:t>
      </w:r>
      <w:r>
        <w:rPr>
          <w:rFonts w:hint="eastAsia" w:eastAsia="仿宋_GB2312"/>
          <w:sz w:val="32"/>
          <w:szCs w:val="32"/>
        </w:rPr>
        <w:t>接待米易县晃桥水利工程运行中心到我单位交流学习水库调度管理工作；接待木里藏族自治县水利局等到我单位交流学习防汛抗旱管理、汛期水库管理及水库调度管理工作产生的费用</w:t>
      </w:r>
      <w:r>
        <w:rPr>
          <w:rFonts w:hint="eastAsia" w:ascii="仿宋_GB2312" w:eastAsia="仿宋_GB2312"/>
          <w:color w:val="000000"/>
          <w:sz w:val="32"/>
          <w:szCs w:val="32"/>
        </w:rPr>
        <w:t>。</w:t>
      </w:r>
    </w:p>
    <w:p>
      <w:pPr>
        <w:spacing w:line="600" w:lineRule="exact"/>
        <w:ind w:firstLine="643" w:firstLineChars="200"/>
        <w:rPr>
          <w:rFonts w:hint="eastAsia" w:ascii="仿宋_GB2312" w:eastAsia="仿宋"/>
          <w:color w:val="000000"/>
          <w:sz w:val="32"/>
          <w:szCs w:val="32"/>
        </w:rPr>
      </w:pPr>
      <w:r>
        <w:rPr>
          <w:rFonts w:hint="eastAsia" w:ascii="仿宋" w:hAnsi="仿宋" w:eastAsia="仿宋"/>
          <w:b/>
          <w:color w:val="000000"/>
          <w:sz w:val="32"/>
          <w:szCs w:val="32"/>
        </w:rPr>
        <w:t>无外事接待支出。</w:t>
      </w:r>
    </w:p>
    <w:p>
      <w:pPr>
        <w:spacing w:line="600" w:lineRule="exact"/>
        <w:ind w:firstLine="640" w:firstLineChars="200"/>
        <w:outlineLvl w:val="1"/>
        <w:rPr>
          <w:rStyle w:val="30"/>
          <w:rFonts w:ascii="黑体" w:hAnsi="黑体" w:eastAsia="黑体"/>
        </w:rPr>
      </w:pPr>
      <w:bookmarkStart w:id="128" w:name="_Toc23004"/>
      <w:bookmarkStart w:id="129" w:name="_Toc15396610"/>
      <w:bookmarkStart w:id="130" w:name="_Toc384"/>
      <w:bookmarkStart w:id="131" w:name="_Toc7850"/>
      <w:bookmarkStart w:id="132" w:name="_Toc15377218"/>
      <w:bookmarkStart w:id="133" w:name="_Toc29748"/>
      <w:r>
        <w:rPr>
          <w:rFonts w:hint="eastAsia" w:ascii="黑体" w:eastAsia="黑体"/>
          <w:color w:val="000000"/>
          <w:sz w:val="32"/>
          <w:szCs w:val="32"/>
        </w:rPr>
        <w:t>八、</w:t>
      </w:r>
      <w:r>
        <w:rPr>
          <w:rStyle w:val="30"/>
          <w:rFonts w:hint="eastAsia" w:ascii="黑体" w:hAnsi="黑体" w:eastAsia="黑体"/>
          <w:b w:val="0"/>
        </w:rPr>
        <w:t>政府性基金预算支出决算情况说明</w:t>
      </w:r>
      <w:bookmarkEnd w:id="128"/>
      <w:bookmarkEnd w:id="129"/>
      <w:bookmarkEnd w:id="130"/>
      <w:bookmarkEnd w:id="131"/>
      <w:bookmarkEnd w:id="132"/>
      <w:bookmarkEnd w:id="133"/>
    </w:p>
    <w:p>
      <w:pPr>
        <w:spacing w:line="600" w:lineRule="exact"/>
        <w:ind w:firstLine="640"/>
        <w:rPr>
          <w:rFonts w:ascii="仿宋_GB2312" w:eastAsia="仿宋_GB2312"/>
          <w:color w:val="000000"/>
          <w:sz w:val="32"/>
          <w:szCs w:val="32"/>
        </w:rPr>
      </w:pPr>
      <w:r>
        <w:rPr>
          <w:rFonts w:ascii="仿宋_GB2312" w:eastAsia="仿宋_GB2312"/>
          <w:color w:val="000000"/>
          <w:sz w:val="32"/>
          <w:szCs w:val="32"/>
        </w:rPr>
        <w:t>2020</w:t>
      </w:r>
      <w:r>
        <w:rPr>
          <w:rFonts w:hint="eastAsia" w:ascii="仿宋_GB2312" w:eastAsia="仿宋_GB2312"/>
          <w:color w:val="000000"/>
          <w:sz w:val="32"/>
          <w:szCs w:val="32"/>
        </w:rPr>
        <w:t>年政府性基金预算拨款支出141.79万元。</w:t>
      </w:r>
    </w:p>
    <w:p>
      <w:pPr>
        <w:numPr>
          <w:ilvl w:val="0"/>
          <w:numId w:val="2"/>
        </w:numPr>
        <w:spacing w:line="600" w:lineRule="exact"/>
        <w:ind w:firstLine="640"/>
        <w:outlineLvl w:val="1"/>
        <w:rPr>
          <w:rStyle w:val="30"/>
          <w:rFonts w:ascii="黑体" w:hAnsi="黑体" w:eastAsia="黑体"/>
          <w:b w:val="0"/>
        </w:rPr>
      </w:pPr>
      <w:bookmarkStart w:id="134" w:name="_Toc5362"/>
      <w:bookmarkStart w:id="135" w:name="_Toc5023"/>
      <w:bookmarkStart w:id="136" w:name="_Toc7171"/>
      <w:bookmarkStart w:id="137" w:name="_Toc4593"/>
      <w:bookmarkStart w:id="138" w:name="_Toc15396611"/>
      <w:bookmarkStart w:id="139" w:name="_Toc15377219"/>
      <w:r>
        <w:rPr>
          <w:rStyle w:val="30"/>
          <w:rFonts w:hint="eastAsia" w:ascii="黑体" w:hAnsi="黑体" w:eastAsia="黑体"/>
          <w:b w:val="0"/>
        </w:rPr>
        <w:t>国有资本经营预算支出决算情况说明</w:t>
      </w:r>
      <w:bookmarkEnd w:id="134"/>
      <w:bookmarkEnd w:id="135"/>
      <w:bookmarkEnd w:id="136"/>
      <w:bookmarkEnd w:id="137"/>
      <w:bookmarkEnd w:id="138"/>
      <w:bookmarkEnd w:id="139"/>
    </w:p>
    <w:p>
      <w:pPr>
        <w:spacing w:line="600" w:lineRule="exact"/>
        <w:ind w:firstLine="640"/>
        <w:rPr>
          <w:rFonts w:ascii="方正小标宋简体" w:hAnsi="方正小标宋简体" w:eastAsia="方正小标宋简体" w:cs="方正小标宋简体"/>
          <w:sz w:val="44"/>
          <w:szCs w:val="44"/>
        </w:rPr>
      </w:pPr>
      <w:r>
        <w:rPr>
          <w:rFonts w:ascii="仿宋_GB2312" w:eastAsia="仿宋_GB2312"/>
          <w:color w:val="000000"/>
          <w:sz w:val="32"/>
          <w:szCs w:val="32"/>
        </w:rPr>
        <w:t>2020</w:t>
      </w:r>
      <w:r>
        <w:rPr>
          <w:rFonts w:hint="eastAsia" w:ascii="仿宋_GB2312" w:eastAsia="仿宋_GB2312"/>
          <w:color w:val="000000"/>
          <w:sz w:val="32"/>
          <w:szCs w:val="32"/>
        </w:rPr>
        <w:t>年国有资本经营预算拨款支出0万元。</w:t>
      </w:r>
    </w:p>
    <w:p>
      <w:pPr>
        <w:spacing w:line="600" w:lineRule="exact"/>
        <w:ind w:firstLine="800" w:firstLineChars="250"/>
        <w:outlineLvl w:val="1"/>
        <w:rPr>
          <w:rStyle w:val="30"/>
          <w:rFonts w:ascii="黑体" w:hAnsi="黑体" w:eastAsia="黑体"/>
        </w:rPr>
      </w:pPr>
      <w:bookmarkStart w:id="140" w:name="_Toc31909"/>
      <w:bookmarkStart w:id="141" w:name="_Toc579"/>
      <w:bookmarkStart w:id="142" w:name="_Toc7987"/>
      <w:bookmarkStart w:id="143" w:name="_Toc15377221"/>
      <w:bookmarkStart w:id="144" w:name="_Toc19738"/>
      <w:bookmarkStart w:id="145" w:name="_Toc15396612"/>
      <w:r>
        <w:rPr>
          <w:rFonts w:hint="eastAsia" w:ascii="黑体" w:hAnsi="黑体" w:eastAsia="黑体"/>
          <w:color w:val="000000"/>
          <w:sz w:val="32"/>
          <w:szCs w:val="32"/>
        </w:rPr>
        <w:t>十</w:t>
      </w:r>
      <w:r>
        <w:rPr>
          <w:rStyle w:val="30"/>
          <w:rFonts w:hint="eastAsia" w:ascii="黑体" w:hAnsi="黑体" w:eastAsia="黑体"/>
        </w:rPr>
        <w:t>、</w:t>
      </w:r>
      <w:r>
        <w:rPr>
          <w:rStyle w:val="30"/>
          <w:rFonts w:hint="eastAsia" w:ascii="黑体" w:hAnsi="黑体" w:eastAsia="黑体"/>
          <w:b w:val="0"/>
        </w:rPr>
        <w:t>其他重要事项的情况说明</w:t>
      </w:r>
      <w:bookmarkEnd w:id="140"/>
      <w:bookmarkEnd w:id="141"/>
      <w:bookmarkEnd w:id="142"/>
      <w:bookmarkEnd w:id="143"/>
      <w:bookmarkEnd w:id="144"/>
      <w:bookmarkEnd w:id="145"/>
    </w:p>
    <w:p>
      <w:pPr>
        <w:spacing w:line="600" w:lineRule="exact"/>
        <w:ind w:firstLine="643" w:firstLineChars="200"/>
        <w:outlineLvl w:val="2"/>
        <w:rPr>
          <w:rFonts w:ascii="仿宋" w:hAnsi="仿宋" w:eastAsia="仿宋"/>
          <w:color w:val="000000"/>
          <w:sz w:val="32"/>
          <w:szCs w:val="32"/>
        </w:rPr>
      </w:pPr>
      <w:bookmarkStart w:id="146" w:name="_Toc17674"/>
      <w:bookmarkStart w:id="147" w:name="_Toc15377222"/>
      <w:bookmarkStart w:id="148" w:name="_Toc16864"/>
      <w:r>
        <w:rPr>
          <w:rFonts w:hint="eastAsia" w:ascii="仿宋" w:hAnsi="仿宋" w:eastAsia="仿宋"/>
          <w:b/>
          <w:color w:val="000000"/>
          <w:sz w:val="32"/>
          <w:szCs w:val="32"/>
        </w:rPr>
        <w:t>（一）机关运行经费支出情况</w:t>
      </w:r>
      <w:bookmarkEnd w:id="146"/>
      <w:bookmarkEnd w:id="147"/>
      <w:bookmarkEnd w:id="148"/>
    </w:p>
    <w:p>
      <w:pPr>
        <w:spacing w:line="6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无机关运行经费支出。</w:t>
      </w:r>
    </w:p>
    <w:p>
      <w:pPr>
        <w:spacing w:line="600" w:lineRule="exact"/>
        <w:ind w:firstLine="643" w:firstLineChars="200"/>
        <w:rPr>
          <w:rFonts w:ascii="仿宋" w:hAnsi="仿宋" w:eastAsia="仿宋"/>
          <w:b/>
          <w:color w:val="FF0000"/>
          <w:sz w:val="32"/>
          <w:szCs w:val="32"/>
        </w:rPr>
      </w:pPr>
      <w:r>
        <w:rPr>
          <w:rFonts w:hint="eastAsia" w:ascii="仿宋" w:hAnsi="仿宋" w:eastAsia="仿宋"/>
          <w:b/>
          <w:color w:val="FF0000"/>
          <w:sz w:val="32"/>
          <w:szCs w:val="32"/>
        </w:rPr>
        <w:t>（注：数据来源于财决附</w:t>
      </w:r>
      <w:r>
        <w:rPr>
          <w:rFonts w:ascii="仿宋" w:hAnsi="仿宋" w:eastAsia="仿宋"/>
          <w:b/>
          <w:color w:val="FF0000"/>
          <w:sz w:val="32"/>
          <w:szCs w:val="32"/>
        </w:rPr>
        <w:t>03</w:t>
      </w:r>
      <w:r>
        <w:rPr>
          <w:rFonts w:hint="eastAsia" w:ascii="仿宋" w:hAnsi="仿宋" w:eastAsia="仿宋"/>
          <w:b/>
          <w:color w:val="FF0000"/>
          <w:sz w:val="32"/>
          <w:szCs w:val="32"/>
        </w:rPr>
        <w:t>表）</w:t>
      </w:r>
    </w:p>
    <w:p>
      <w:pPr>
        <w:autoSpaceDE w:val="0"/>
        <w:autoSpaceDN w:val="0"/>
        <w:adjustRightInd w:val="0"/>
        <w:spacing w:line="600" w:lineRule="exact"/>
        <w:ind w:firstLine="643" w:firstLineChars="200"/>
        <w:jc w:val="left"/>
        <w:outlineLvl w:val="2"/>
        <w:rPr>
          <w:rFonts w:ascii="仿宋" w:hAnsi="仿宋" w:eastAsia="仿宋"/>
          <w:b/>
          <w:color w:val="000000"/>
          <w:sz w:val="32"/>
          <w:szCs w:val="32"/>
        </w:rPr>
      </w:pPr>
      <w:bookmarkStart w:id="149" w:name="_Toc16220"/>
      <w:bookmarkStart w:id="150" w:name="_Toc15377223"/>
      <w:bookmarkStart w:id="151" w:name="_Toc5999"/>
      <w:r>
        <w:rPr>
          <w:rFonts w:hint="eastAsia" w:ascii="仿宋" w:hAnsi="仿宋" w:eastAsia="仿宋"/>
          <w:b/>
          <w:color w:val="000000"/>
          <w:sz w:val="32"/>
          <w:szCs w:val="32"/>
        </w:rPr>
        <w:t>（二）政府采购支出情况</w:t>
      </w:r>
      <w:bookmarkEnd w:id="149"/>
      <w:bookmarkEnd w:id="150"/>
      <w:bookmarkEnd w:id="151"/>
    </w:p>
    <w:p>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2020</w:t>
      </w:r>
      <w:r>
        <w:rPr>
          <w:rFonts w:hint="eastAsia" w:ascii="仿宋_GB2312" w:eastAsia="仿宋_GB2312"/>
          <w:color w:val="000000"/>
          <w:sz w:val="32"/>
          <w:szCs w:val="32"/>
        </w:rPr>
        <w:t>年，政府采购支出总额548.01万元，其中：政府采购货物支出0万元、政府采购工程支出548.01万元、政府采购服务支出0万元。主要用于干渠节水改造、沙坝田水库除险加固工程。授予中小企业合同金额548.01万元，占政府采购支出总额的100</w:t>
      </w:r>
      <w:r>
        <w:rPr>
          <w:rFonts w:ascii="仿宋_GB2312" w:eastAsia="仿宋_GB2312"/>
          <w:color w:val="000000"/>
          <w:sz w:val="32"/>
          <w:szCs w:val="32"/>
        </w:rPr>
        <w:t>%</w:t>
      </w:r>
      <w:r>
        <w:rPr>
          <w:rFonts w:hint="eastAsia" w:ascii="仿宋_GB2312" w:eastAsia="仿宋_GB2312"/>
          <w:color w:val="000000"/>
          <w:sz w:val="32"/>
          <w:szCs w:val="32"/>
        </w:rPr>
        <w:t>，其中：授予小微企业合同金额548.01万元，占政府采购支出总额的100</w:t>
      </w:r>
      <w:r>
        <w:rPr>
          <w:rFonts w:ascii="仿宋_GB2312" w:eastAsia="仿宋_GB2312"/>
          <w:color w:val="000000"/>
          <w:sz w:val="32"/>
          <w:szCs w:val="32"/>
        </w:rPr>
        <w:t>%</w:t>
      </w:r>
      <w:r>
        <w:rPr>
          <w:rFonts w:hint="eastAsia" w:ascii="仿宋_GB2312" w:eastAsia="仿宋_GB2312"/>
          <w:color w:val="000000"/>
          <w:sz w:val="32"/>
          <w:szCs w:val="32"/>
        </w:rPr>
        <w:t>。</w:t>
      </w:r>
    </w:p>
    <w:p>
      <w:pPr>
        <w:spacing w:line="600" w:lineRule="exact"/>
        <w:ind w:firstLine="643" w:firstLineChars="200"/>
        <w:rPr>
          <w:rFonts w:ascii="仿宋" w:hAnsi="仿宋" w:eastAsia="仿宋"/>
          <w:b/>
          <w:color w:val="FF0000"/>
          <w:sz w:val="32"/>
          <w:szCs w:val="32"/>
        </w:rPr>
      </w:pPr>
      <w:r>
        <w:rPr>
          <w:rFonts w:hint="eastAsia" w:ascii="仿宋" w:hAnsi="仿宋" w:eastAsia="仿宋"/>
          <w:b/>
          <w:color w:val="FF0000"/>
          <w:sz w:val="32"/>
          <w:szCs w:val="32"/>
        </w:rPr>
        <w:t>（注：数据来源于财决附</w:t>
      </w:r>
      <w:r>
        <w:rPr>
          <w:rFonts w:ascii="仿宋" w:hAnsi="仿宋" w:eastAsia="仿宋"/>
          <w:b/>
          <w:color w:val="FF0000"/>
          <w:sz w:val="32"/>
          <w:szCs w:val="32"/>
        </w:rPr>
        <w:t>03</w:t>
      </w:r>
      <w:r>
        <w:rPr>
          <w:rFonts w:hint="eastAsia" w:ascii="仿宋" w:hAnsi="仿宋" w:eastAsia="仿宋"/>
          <w:b/>
          <w:color w:val="FF0000"/>
          <w:sz w:val="32"/>
          <w:szCs w:val="32"/>
        </w:rPr>
        <w:t>表）</w:t>
      </w:r>
    </w:p>
    <w:p>
      <w:pPr>
        <w:autoSpaceDE w:val="0"/>
        <w:autoSpaceDN w:val="0"/>
        <w:adjustRightInd w:val="0"/>
        <w:spacing w:line="600" w:lineRule="exact"/>
        <w:ind w:firstLine="643" w:firstLineChars="200"/>
        <w:jc w:val="left"/>
        <w:outlineLvl w:val="2"/>
        <w:rPr>
          <w:rFonts w:ascii="仿宋" w:hAnsi="仿宋" w:eastAsia="仿宋"/>
          <w:b/>
          <w:color w:val="000000"/>
          <w:sz w:val="32"/>
          <w:szCs w:val="32"/>
        </w:rPr>
      </w:pPr>
      <w:bookmarkStart w:id="152" w:name="_Toc15377224"/>
      <w:bookmarkStart w:id="153" w:name="_Toc3651"/>
      <w:bookmarkStart w:id="154" w:name="_Toc6069"/>
      <w:r>
        <w:rPr>
          <w:rFonts w:hint="eastAsia" w:ascii="仿宋" w:hAnsi="仿宋" w:eastAsia="仿宋"/>
          <w:b/>
          <w:color w:val="000000"/>
          <w:sz w:val="32"/>
          <w:szCs w:val="32"/>
        </w:rPr>
        <w:t>（三）国有资产占有使用情况</w:t>
      </w:r>
      <w:bookmarkEnd w:id="152"/>
      <w:bookmarkEnd w:id="153"/>
      <w:bookmarkEnd w:id="154"/>
    </w:p>
    <w:p>
      <w:pPr>
        <w:autoSpaceDE w:val="0"/>
        <w:autoSpaceDN w:val="0"/>
        <w:adjustRightInd w:val="0"/>
        <w:spacing w:line="600" w:lineRule="exact"/>
        <w:ind w:firstLine="640" w:firstLineChars="200"/>
        <w:jc w:val="left"/>
        <w:rPr>
          <w:rFonts w:hint="eastAsia" w:ascii="仿宋_GB2312" w:eastAsia="仿宋_GB2312"/>
          <w:color w:val="000000"/>
          <w:sz w:val="32"/>
          <w:szCs w:val="32"/>
        </w:rPr>
      </w:pPr>
      <w:r>
        <w:rPr>
          <w:rFonts w:hint="eastAsia" w:ascii="仿宋_GB2312" w:eastAsia="仿宋_GB2312"/>
          <w:color w:val="000000"/>
          <w:sz w:val="32"/>
          <w:szCs w:val="32"/>
        </w:rPr>
        <w:t>截至</w:t>
      </w:r>
      <w:r>
        <w:rPr>
          <w:rFonts w:ascii="仿宋_GB2312" w:eastAsia="仿宋_GB2312"/>
          <w:color w:val="000000"/>
          <w:sz w:val="32"/>
          <w:szCs w:val="32"/>
        </w:rPr>
        <w:t>2020</w:t>
      </w:r>
      <w:r>
        <w:rPr>
          <w:rFonts w:hint="eastAsia" w:ascii="仿宋_GB2312" w:eastAsia="仿宋_GB2312"/>
          <w:color w:val="000000"/>
          <w:sz w:val="32"/>
          <w:szCs w:val="32"/>
        </w:rPr>
        <w:t>年</w:t>
      </w:r>
      <w:r>
        <w:rPr>
          <w:rFonts w:ascii="仿宋_GB2312" w:eastAsia="仿宋_GB2312"/>
          <w:color w:val="000000"/>
          <w:sz w:val="32"/>
          <w:szCs w:val="32"/>
        </w:rPr>
        <w:t>12</w:t>
      </w:r>
      <w:r>
        <w:rPr>
          <w:rFonts w:hint="eastAsia" w:ascii="仿宋_GB2312" w:eastAsia="仿宋_GB2312"/>
          <w:color w:val="000000"/>
          <w:sz w:val="32"/>
          <w:szCs w:val="32"/>
        </w:rPr>
        <w:t>月</w:t>
      </w:r>
      <w:r>
        <w:rPr>
          <w:rFonts w:ascii="仿宋_GB2312" w:eastAsia="仿宋_GB2312"/>
          <w:color w:val="000000"/>
          <w:sz w:val="32"/>
          <w:szCs w:val="32"/>
        </w:rPr>
        <w:t>31</w:t>
      </w:r>
      <w:r>
        <w:rPr>
          <w:rFonts w:hint="eastAsia" w:ascii="仿宋_GB2312" w:eastAsia="仿宋_GB2312"/>
          <w:color w:val="000000"/>
          <w:sz w:val="32"/>
          <w:szCs w:val="32"/>
        </w:rPr>
        <w:t>日，我中心共有车辆3辆，其中：主要领导干部用车0辆、机要通信用车0辆、应急保障用车0辆、其他用车1辆、特种专业技术用车2辆。 单价</w:t>
      </w:r>
      <w:r>
        <w:rPr>
          <w:rFonts w:ascii="仿宋_GB2312" w:eastAsia="仿宋_GB2312"/>
          <w:color w:val="000000"/>
          <w:sz w:val="32"/>
          <w:szCs w:val="32"/>
        </w:rPr>
        <w:t>50</w:t>
      </w:r>
      <w:r>
        <w:rPr>
          <w:rFonts w:hint="eastAsia" w:ascii="仿宋_GB2312" w:eastAsia="仿宋_GB2312"/>
          <w:color w:val="000000"/>
          <w:sz w:val="32"/>
          <w:szCs w:val="32"/>
        </w:rPr>
        <w:t>万元以上通用设备0台（套），单价</w:t>
      </w:r>
      <w:r>
        <w:rPr>
          <w:rFonts w:ascii="仿宋_GB2312" w:eastAsia="仿宋_GB2312"/>
          <w:color w:val="000000"/>
          <w:sz w:val="32"/>
          <w:szCs w:val="32"/>
        </w:rPr>
        <w:t>100</w:t>
      </w:r>
      <w:r>
        <w:rPr>
          <w:rFonts w:hint="eastAsia" w:ascii="仿宋_GB2312" w:eastAsia="仿宋_GB2312"/>
          <w:color w:val="000000"/>
          <w:sz w:val="32"/>
          <w:szCs w:val="32"/>
        </w:rPr>
        <w:t>万元以上专用设备0台（套）。</w:t>
      </w:r>
    </w:p>
    <w:p>
      <w:pPr>
        <w:autoSpaceDE w:val="0"/>
        <w:autoSpaceDN w:val="0"/>
        <w:adjustRightInd w:val="0"/>
        <w:spacing w:line="600" w:lineRule="exact"/>
        <w:ind w:firstLine="643" w:firstLineChars="200"/>
        <w:jc w:val="left"/>
        <w:rPr>
          <w:rFonts w:ascii="仿宋" w:hAnsi="仿宋" w:eastAsia="仿宋"/>
          <w:b/>
          <w:color w:val="FF0000"/>
          <w:sz w:val="32"/>
          <w:szCs w:val="32"/>
        </w:rPr>
      </w:pPr>
      <w:r>
        <w:rPr>
          <w:rFonts w:hint="eastAsia" w:ascii="仿宋" w:hAnsi="仿宋" w:eastAsia="仿宋"/>
          <w:b/>
          <w:color w:val="FF0000"/>
          <w:sz w:val="32"/>
          <w:szCs w:val="32"/>
        </w:rPr>
        <w:t>（注：数据来源财决附</w:t>
      </w:r>
      <w:r>
        <w:rPr>
          <w:rFonts w:ascii="仿宋" w:hAnsi="仿宋" w:eastAsia="仿宋"/>
          <w:b/>
          <w:color w:val="FF0000"/>
          <w:sz w:val="32"/>
          <w:szCs w:val="32"/>
        </w:rPr>
        <w:t>03</w:t>
      </w:r>
      <w:r>
        <w:rPr>
          <w:rFonts w:hint="eastAsia" w:ascii="仿宋" w:hAnsi="仿宋" w:eastAsia="仿宋"/>
          <w:b/>
          <w:color w:val="FF0000"/>
          <w:sz w:val="32"/>
          <w:szCs w:val="32"/>
        </w:rPr>
        <w:t>表，按部门决算报表填报数据罗列车辆情况。）</w:t>
      </w:r>
    </w:p>
    <w:p>
      <w:pPr>
        <w:autoSpaceDE w:val="0"/>
        <w:autoSpaceDN w:val="0"/>
        <w:adjustRightInd w:val="0"/>
        <w:spacing w:line="600" w:lineRule="exact"/>
        <w:ind w:firstLine="643" w:firstLineChars="200"/>
        <w:jc w:val="left"/>
        <w:outlineLvl w:val="2"/>
        <w:rPr>
          <w:rFonts w:ascii="仿宋" w:hAnsi="仿宋" w:eastAsia="仿宋"/>
          <w:b/>
          <w:color w:val="000000"/>
          <w:sz w:val="32"/>
          <w:szCs w:val="32"/>
        </w:rPr>
      </w:pPr>
      <w:bookmarkStart w:id="155" w:name="_Toc12207"/>
      <w:bookmarkStart w:id="156" w:name="_Toc25904"/>
      <w:r>
        <w:rPr>
          <w:rFonts w:hint="eastAsia" w:ascii="仿宋" w:hAnsi="仿宋" w:eastAsia="仿宋"/>
          <w:b/>
          <w:color w:val="000000"/>
          <w:sz w:val="32"/>
          <w:szCs w:val="32"/>
        </w:rPr>
        <w:t>（四）预算绩效管理情况。</w:t>
      </w:r>
      <w:bookmarkEnd w:id="155"/>
      <w:bookmarkEnd w:id="156"/>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单位在年初预算编制阶段，组织对维修养护经费、运行管理费等项目开展了预算事前绩效评估，对4个项目编制了绩效目标，预算执行过程中，选取4个项目开展绩效监控，年终执行完毕后，对4个项目开展了绩效目标完成情况自评。</w:t>
      </w:r>
    </w:p>
    <w:p>
      <w:pPr>
        <w:pStyle w:val="9"/>
        <w:spacing w:line="600" w:lineRule="exact"/>
        <w:ind w:firstLine="640" w:firstLineChars="200"/>
        <w:jc w:val="left"/>
        <w:rPr>
          <w:rFonts w:hint="eastAsia" w:ascii="仿宋_GB2312" w:eastAsia="仿宋_GB2312"/>
          <w:sz w:val="32"/>
          <w:szCs w:val="32"/>
          <w:shd w:val="clear" w:color="auto" w:fill="FFFFFF"/>
        </w:rPr>
      </w:pPr>
      <w:r>
        <w:rPr>
          <w:rFonts w:hint="eastAsia" w:ascii="仿宋_GB2312" w:hAnsi="仿宋_GB2312" w:eastAsia="仿宋_GB2312" w:cs="仿宋_GB2312"/>
          <w:sz w:val="32"/>
          <w:szCs w:val="32"/>
        </w:rPr>
        <w:t>本单位按要求对</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年部门整体支出开展绩效自评，从评价情况来看，</w:t>
      </w:r>
      <w:r>
        <w:rPr>
          <w:rFonts w:hint="eastAsia" w:ascii="仿宋_GB2312" w:eastAsia="仿宋_GB2312"/>
          <w:sz w:val="32"/>
          <w:szCs w:val="32"/>
          <w:shd w:val="clear" w:color="auto" w:fill="FFFFFF"/>
        </w:rPr>
        <w:t>2020年在主管部门的指导下，中心领导亲自挂帅监督项目实施推进，科室负责人负责落实项目各项措施，岗位责任人各司其职，按程序有序推进。较好的完成了各项项目实施。</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ascii="楷体_GB2312" w:hAnsi="楷体_GB2312" w:eastAsia="楷体_GB2312" w:cs="楷体_GB2312"/>
          <w:sz w:val="32"/>
          <w:szCs w:val="32"/>
        </w:rPr>
        <w:t>1.</w:t>
      </w:r>
      <w:r>
        <w:rPr>
          <w:rFonts w:hint="eastAsia" w:ascii="楷体_GB2312" w:hAnsi="楷体_GB2312" w:eastAsia="楷体_GB2312" w:cs="楷体_GB2312"/>
          <w:sz w:val="32"/>
          <w:szCs w:val="32"/>
        </w:rPr>
        <w:t>项目绩效目标完成情况。</w:t>
      </w:r>
      <w:r>
        <w:rPr>
          <w:rFonts w:ascii="楷体_GB2312" w:hAnsi="楷体_GB2312" w:eastAsia="楷体_GB2312" w:cs="楷体_GB2312"/>
          <w:sz w:val="32"/>
          <w:szCs w:val="32"/>
        </w:rPr>
        <w:br w:type="textWrapping"/>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本部门在</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 xml:space="preserve">年度部门决算中反映维修养护经费、运行管理费、沙坝田水库除险加固、干渠节水改造4个项目绩效目标实际完成情况。 </w:t>
      </w:r>
    </w:p>
    <w:p>
      <w:pPr>
        <w:autoSpaceDE w:val="0"/>
        <w:autoSpaceDN w:val="0"/>
        <w:adjustRightInd w:val="0"/>
        <w:spacing w:line="600" w:lineRule="exact"/>
        <w:ind w:firstLine="640" w:firstLineChars="200"/>
        <w:jc w:val="left"/>
        <w:rPr>
          <w:rFonts w:ascii="仿宋_GB2312" w:hAnsi="宋体" w:eastAsia="仿宋_GB2312"/>
          <w:color w:val="FF0000"/>
          <w:sz w:val="32"/>
          <w:szCs w:val="32"/>
          <w:lang w:val="zh-CN"/>
        </w:rPr>
      </w:pPr>
      <w:r>
        <w:rPr>
          <w:rFonts w:hint="eastAsia" w:ascii="仿宋_GB2312" w:hAnsi="仿宋_GB2312" w:eastAsia="仿宋_GB2312" w:cs="仿宋_GB2312"/>
          <w:sz w:val="32"/>
          <w:szCs w:val="32"/>
        </w:rPr>
        <w:t>（1）维修养护经常项目绩效目标完成情况综述。项目全年预算数80万元，执行数为80万元，完成预算的100%。通过项目实施，完成两座水库的枢纽、渠道工程维修养护。确保水库水利工程安全、保护饮用水源、提高水质、促进社会稳定。发现的问题：</w:t>
      </w:r>
      <w:r>
        <w:rPr>
          <w:rFonts w:hint="eastAsia" w:ascii="仿宋_GB2312" w:hAnsi="仿宋_GB2312" w:eastAsia="仿宋_GB2312" w:cs="仿宋_GB2312"/>
          <w:sz w:val="32"/>
          <w:szCs w:val="32"/>
          <w:lang w:val="zh-CN"/>
        </w:rPr>
        <w:t>维修养护具有不确定性，只能在需要维修养护的项目中挑选最紧迫、最必要的项目进行维修。因此，实施的项目和年初申报的维修养护项目有一定的差异。下一步改进措施：下一步，我中心将更加细致地做好调查研究，对将要实施的项目做出科学预叛，尽可能地保证项目建设不偏离绩效目标。</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）运行管理费项目绩效目标完成情况综述。项目全年预算数60万元，执行数为60万元，完成预算的100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 xml:space="preserve">。通过项目实施，保障胜利水利工程中心正常开展工作、提升单位管理质量。  </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）沙坝田水库除险加固项目绩效目标完成情况综述。项目全年预算数223.48万元，执行数为190.16万元，完成预算的85</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通过项目实施，消除了水库安全隐患，完善了工程管理设施，保障了工程安全度汛，保障了水库下泄生态流量，促进了下游河道生态恢复；改善了农田灌溉、人畜饮水等生产生活条件，促进了灌区农村经济持续稳定发展，也能促进灌区农村产业结构调整，促进农民增收，帮助群众脱贫致富，维护社会稳定；同时，项目的实施也为下游河道沿线森林草原防灭火设施提供用水需求。总之，通过对本项目的实施完成，既有显著的经济效益，又有巨大的社会效益了。</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4）胜利水库干渠抗旱节水改造项目绩效目标完成情况综述。项目全年预算200万元，执行数为191.44万元，完成预算的95.72%。通过项目实施，增强了灌区农业抵御自然灾害风险及通过综合生产的能力，改善了农田灌溉、人畜饮水等生产生活条件，提高了农作物产量，促进了灌区农村经济持续稳定发展，也能促进灌区农村产业结构调整，促进农民增收，帮助群众脱贫致富，维护社会稳定。同时，项目的实施也是积极探索和引导群众开发商品农业的新路子。项目实施后，一是直接改善灌区灌面4500亩， 使2500余名群众受益；二是每年至少能节约30万m3水量用于补充攀西科技城生态用水的不足，推动攀枝花市“两城”建设，实现攀枝花市政府提出的以新发展理念推动产业转型升级战略目标。</w:t>
      </w:r>
    </w:p>
    <w:p>
      <w:pPr>
        <w:spacing w:line="580" w:lineRule="exact"/>
        <w:ind w:firstLine="640" w:firstLineChars="200"/>
        <w:rPr>
          <w:rFonts w:ascii="仿宋_GB2312" w:hAnsi="仿宋_GB2312" w:eastAsia="仿宋_GB2312" w:cs="仿宋_GB2312"/>
          <w:sz w:val="32"/>
          <w:szCs w:val="32"/>
        </w:rPr>
      </w:pPr>
    </w:p>
    <w:p>
      <w:pPr>
        <w:spacing w:line="580" w:lineRule="exact"/>
        <w:ind w:firstLine="640" w:firstLineChars="200"/>
        <w:rPr>
          <w:rFonts w:ascii="仿宋_GB2312" w:hAnsi="仿宋_GB2312" w:eastAsia="仿宋_GB2312" w:cs="仿宋_GB2312"/>
          <w:sz w:val="32"/>
          <w:szCs w:val="32"/>
        </w:rPr>
      </w:pPr>
    </w:p>
    <w:p>
      <w:pPr>
        <w:spacing w:line="580" w:lineRule="exact"/>
        <w:ind w:firstLine="640" w:firstLineChars="200"/>
        <w:rPr>
          <w:rFonts w:ascii="仿宋_GB2312" w:hAnsi="仿宋_GB2312" w:eastAsia="仿宋_GB2312" w:cs="仿宋_GB2312"/>
          <w:sz w:val="32"/>
          <w:szCs w:val="32"/>
        </w:rPr>
      </w:pPr>
    </w:p>
    <w:tbl>
      <w:tblPr>
        <w:tblStyle w:val="15"/>
        <w:tblpPr w:leftFromText="180" w:rightFromText="180" w:vertAnchor="text" w:horzAnchor="page" w:tblpXSpec="center" w:tblpY="423"/>
        <w:tblOverlap w:val="never"/>
        <w:tblW w:w="0" w:type="auto"/>
        <w:jc w:val="center"/>
        <w:tblLayout w:type="fixed"/>
        <w:tblCellMar>
          <w:top w:w="0" w:type="dxa"/>
          <w:left w:w="0" w:type="dxa"/>
          <w:bottom w:w="0" w:type="dxa"/>
          <w:right w:w="0" w:type="dxa"/>
        </w:tblCellMar>
      </w:tblPr>
      <w:tblGrid>
        <w:gridCol w:w="390"/>
        <w:gridCol w:w="1367"/>
        <w:gridCol w:w="1025"/>
        <w:gridCol w:w="2392"/>
        <w:gridCol w:w="2394"/>
        <w:gridCol w:w="2392"/>
      </w:tblGrid>
      <w:tr>
        <w:tblPrEx>
          <w:tblCellMar>
            <w:top w:w="0" w:type="dxa"/>
            <w:left w:w="0" w:type="dxa"/>
            <w:bottom w:w="0" w:type="dxa"/>
            <w:right w:w="0" w:type="dxa"/>
          </w:tblCellMar>
        </w:tblPrEx>
        <w:trPr>
          <w:trHeight w:val="1034" w:hRule="atLeast"/>
          <w:jc w:val="center"/>
        </w:trPr>
        <w:tc>
          <w:tcPr>
            <w:tcW w:w="9960" w:type="dxa"/>
            <w:gridSpan w:val="6"/>
            <w:tcBorders>
              <w:top w:val="nil"/>
              <w:left w:val="nil"/>
              <w:bottom w:val="nil"/>
              <w:right w:val="nil"/>
            </w:tcBorders>
            <w:tcMar>
              <w:top w:w="15" w:type="dxa"/>
              <w:left w:w="15" w:type="dxa"/>
              <w:right w:w="15" w:type="dxa"/>
            </w:tcMar>
            <w:vAlign w:val="center"/>
          </w:tcPr>
          <w:p>
            <w:pPr>
              <w:widowControl/>
              <w:jc w:val="center"/>
              <w:textAlignment w:val="center"/>
              <w:rPr>
                <w:rFonts w:ascii="宋体" w:cs="宋体"/>
                <w:color w:val="000000"/>
                <w:sz w:val="36"/>
                <w:szCs w:val="36"/>
              </w:rPr>
            </w:pPr>
            <w:r>
              <w:rPr>
                <w:rFonts w:hint="eastAsia" w:ascii="宋体" w:hAnsi="宋体" w:cs="宋体"/>
                <w:b/>
                <w:bCs/>
                <w:color w:val="000000"/>
                <w:kern w:val="0"/>
                <w:sz w:val="36"/>
                <w:szCs w:val="36"/>
                <w:lang w:bidi="ar"/>
              </w:rPr>
              <w:t>项目绩效目标完成情况表</w:t>
            </w:r>
            <w:r>
              <w:rPr>
                <w:rFonts w:ascii="宋体" w:cs="宋体"/>
                <w:b/>
                <w:bCs/>
                <w:color w:val="000000"/>
                <w:kern w:val="0"/>
                <w:sz w:val="36"/>
                <w:szCs w:val="36"/>
                <w:lang w:bidi="ar"/>
              </w:rPr>
              <w:br w:type="textWrapping"/>
            </w:r>
            <w:r>
              <w:rPr>
                <w:rFonts w:ascii="宋体" w:hAnsi="宋体" w:cs="宋体"/>
                <w:color w:val="000000"/>
                <w:kern w:val="0"/>
                <w:sz w:val="36"/>
                <w:szCs w:val="36"/>
                <w:lang w:bidi="ar"/>
              </w:rPr>
              <w:t>(2020</w:t>
            </w:r>
            <w:r>
              <w:rPr>
                <w:rFonts w:hint="eastAsia" w:ascii="宋体" w:hAnsi="宋体" w:cs="宋体"/>
                <w:color w:val="000000"/>
                <w:kern w:val="0"/>
                <w:sz w:val="36"/>
                <w:szCs w:val="36"/>
                <w:lang w:bidi="ar"/>
              </w:rPr>
              <w:t>年度</w:t>
            </w:r>
            <w:r>
              <w:rPr>
                <w:rFonts w:ascii="宋体" w:hAnsi="宋体" w:cs="宋体"/>
                <w:color w:val="000000"/>
                <w:kern w:val="0"/>
                <w:sz w:val="36"/>
                <w:szCs w:val="36"/>
                <w:lang w:bidi="ar"/>
              </w:rPr>
              <w:t>)</w:t>
            </w:r>
          </w:p>
        </w:tc>
      </w:tr>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项目名称</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cs="宋体"/>
                <w:color w:val="000000"/>
                <w:sz w:val="24"/>
              </w:rPr>
            </w:pPr>
            <w:r>
              <w:rPr>
                <w:rFonts w:hint="eastAsia" w:ascii="宋体" w:cs="宋体"/>
                <w:color w:val="000000"/>
                <w:sz w:val="24"/>
              </w:rPr>
              <w:t>维修养护经费</w:t>
            </w:r>
          </w:p>
        </w:tc>
      </w:tr>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预算单位</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攀枝花市胜利水利工程运行中心</w:t>
            </w:r>
          </w:p>
        </w:tc>
      </w:tr>
      <w:tr>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预算执行情况</w:t>
            </w:r>
            <w:r>
              <w:rPr>
                <w:rFonts w:ascii="宋体" w:hAnsi="宋体" w:cs="宋体"/>
                <w:color w:val="000000"/>
                <w:kern w:val="0"/>
                <w:sz w:val="24"/>
                <w:lang w:bidi="ar"/>
              </w:rPr>
              <w:t>(</w:t>
            </w:r>
            <w:r>
              <w:rPr>
                <w:rFonts w:hint="eastAsia" w:ascii="宋体" w:hAnsi="宋体" w:cs="宋体"/>
                <w:color w:val="000000"/>
                <w:kern w:val="0"/>
                <w:sz w:val="24"/>
                <w:lang w:bidi="ar"/>
              </w:rPr>
              <w:t>万元</w:t>
            </w:r>
            <w:r>
              <w:rPr>
                <w:rFonts w:ascii="宋体" w:hAnsi="宋体" w:cs="宋体"/>
                <w:color w:val="000000"/>
                <w:kern w:val="0"/>
                <w:sz w:val="24"/>
                <w:lang w:bidi="ar"/>
              </w:rPr>
              <w:t>)</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预算数</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80</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执行数</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80</w:t>
            </w:r>
          </w:p>
        </w:tc>
      </w:tr>
      <w:tr>
        <w:tblPrEx>
          <w:tblCellMar>
            <w:top w:w="0" w:type="dxa"/>
            <w:left w:w="0" w:type="dxa"/>
            <w:bottom w:w="0" w:type="dxa"/>
            <w:right w:w="0" w:type="dxa"/>
          </w:tblCellMar>
        </w:tblPrEx>
        <w:trPr>
          <w:trHeight w:val="276"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其中</w:t>
            </w:r>
            <w:r>
              <w:rPr>
                <w:rFonts w:ascii="宋体" w:cs="宋体"/>
                <w:color w:val="000000"/>
                <w:kern w:val="0"/>
                <w:sz w:val="24"/>
                <w:lang w:bidi="ar"/>
              </w:rPr>
              <w:t>-</w:t>
            </w:r>
            <w:r>
              <w:rPr>
                <w:rFonts w:hint="eastAsia" w:ascii="宋体" w:hAnsi="宋体" w:cs="宋体"/>
                <w:color w:val="000000"/>
                <w:kern w:val="0"/>
                <w:sz w:val="24"/>
                <w:lang w:bidi="ar"/>
              </w:rPr>
              <w:t>财政拨款</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80</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其中</w:t>
            </w:r>
            <w:r>
              <w:rPr>
                <w:rFonts w:ascii="宋体" w:cs="宋体"/>
                <w:color w:val="000000"/>
                <w:kern w:val="0"/>
                <w:sz w:val="24"/>
                <w:lang w:bidi="ar"/>
              </w:rPr>
              <w:t>-</w:t>
            </w:r>
            <w:r>
              <w:rPr>
                <w:rFonts w:hint="eastAsia" w:ascii="宋体" w:hAnsi="宋体" w:cs="宋体"/>
                <w:color w:val="000000"/>
                <w:kern w:val="0"/>
                <w:sz w:val="24"/>
                <w:lang w:bidi="ar"/>
              </w:rPr>
              <w:t>财政拨款</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80</w:t>
            </w:r>
          </w:p>
        </w:tc>
      </w:tr>
      <w:tr>
        <w:tblPrEx>
          <w:tblCellMar>
            <w:top w:w="0" w:type="dxa"/>
            <w:left w:w="0" w:type="dxa"/>
            <w:bottom w:w="0" w:type="dxa"/>
            <w:right w:w="0" w:type="dxa"/>
          </w:tblCellMar>
        </w:tblPrEx>
        <w:trPr>
          <w:trHeight w:val="1511"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其它资金</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其它资金</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r>
      <w:tr>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预期目标</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实际完成目标</w:t>
            </w:r>
          </w:p>
        </w:tc>
      </w:tr>
      <w:tr>
        <w:tblPrEx>
          <w:tblCellMar>
            <w:top w:w="0" w:type="dxa"/>
            <w:left w:w="0" w:type="dxa"/>
            <w:bottom w:w="0" w:type="dxa"/>
            <w:right w:w="0" w:type="dxa"/>
          </w:tblCellMar>
        </w:tblPrEx>
        <w:trPr>
          <w:trHeight w:val="1159"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完成胜利水库及沙坝田水库两座水库的枢纽、渠道工程维修养护</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胜利水库抽水设施改造；沙坝田水库打井、蓄水池、供水及管网建设；完成沙坝田水库用电线路、高压电缆等维修改造；完成胜利水库和沙坝田水库的大坝坝坡除草，闸门、启闭机、钢绳等维修养护，水库绿化管护，渠道维修养护，防汛物料储备、演练等，确保水库正常运行</w:t>
            </w:r>
          </w:p>
        </w:tc>
      </w:tr>
      <w:tr>
        <w:tblPrEx>
          <w:tblCellMar>
            <w:top w:w="0" w:type="dxa"/>
            <w:left w:w="0" w:type="dxa"/>
            <w:bottom w:w="0" w:type="dxa"/>
            <w:right w:w="0" w:type="dxa"/>
          </w:tblCellMar>
        </w:tblPrEx>
        <w:trPr>
          <w:trHeight w:val="1042" w:hRule="atLeast"/>
          <w:jc w:val="center"/>
        </w:trPr>
        <w:tc>
          <w:tcPr>
            <w:tcW w:w="39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一级指标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二级指标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三级指标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预期指标值</w:t>
            </w:r>
            <w:r>
              <w:rPr>
                <w:rFonts w:ascii="宋体" w:hAnsi="宋体" w:cs="宋体"/>
                <w:color w:val="000000"/>
                <w:kern w:val="0"/>
                <w:sz w:val="24"/>
                <w:lang w:bidi="ar"/>
              </w:rPr>
              <w:t>(</w:t>
            </w:r>
            <w:r>
              <w:rPr>
                <w:rFonts w:hint="eastAsia" w:ascii="宋体" w:hAnsi="宋体" w:cs="宋体"/>
                <w:color w:val="000000"/>
                <w:kern w:val="0"/>
                <w:sz w:val="24"/>
                <w:lang w:bidi="ar"/>
              </w:rPr>
              <w:t>包含数字及文字描述</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实际完成指标值</w:t>
            </w:r>
            <w:r>
              <w:rPr>
                <w:rFonts w:ascii="宋体" w:hAnsi="宋体" w:cs="宋体"/>
                <w:color w:val="000000"/>
                <w:kern w:val="0"/>
                <w:sz w:val="24"/>
                <w:lang w:bidi="ar"/>
              </w:rPr>
              <w:t>(</w:t>
            </w:r>
            <w:r>
              <w:rPr>
                <w:rFonts w:hint="eastAsia" w:ascii="宋体" w:hAnsi="宋体" w:cs="宋体"/>
                <w:color w:val="000000"/>
                <w:kern w:val="0"/>
                <w:sz w:val="24"/>
                <w:lang w:bidi="ar"/>
              </w:rPr>
              <w:t>包含数字及文字描述</w:t>
            </w:r>
            <w:r>
              <w:rPr>
                <w:rFonts w:ascii="宋体" w:hAnsi="宋体" w:cs="宋体"/>
                <w:color w:val="000000"/>
                <w:kern w:val="0"/>
                <w:sz w:val="24"/>
                <w:lang w:bidi="ar"/>
              </w:rPr>
              <w:t>)</w:t>
            </w:r>
          </w:p>
        </w:tc>
      </w:tr>
      <w:tr>
        <w:tblPrEx>
          <w:tblCellMar>
            <w:top w:w="0" w:type="dxa"/>
            <w:left w:w="0" w:type="dxa"/>
            <w:bottom w:w="0" w:type="dxa"/>
            <w:right w:w="0" w:type="dxa"/>
          </w:tblCellMar>
        </w:tblPrEx>
        <w:trPr>
          <w:trHeight w:val="953"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饮水深井取水工程</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打井取水、安装提水供水设备、管网等，修建蓄水池</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完成打井取水、安装提水供水设备、管网等，修建蓄水池</w:t>
            </w:r>
          </w:p>
        </w:tc>
      </w:tr>
      <w:tr>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闸门及启闭机等维修养护）</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两座放水设施、机电设备，金属构件等维修养护</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完成两座放水设施、机电设备，金属构件等维修养护</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坝坡除草、白蚁防治，工程运行用电、绿化管护</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坝坡除草、打药、白蚁防治；各类工程机电设备用电，绿化管护</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已完成坝坡除草、打药、白蚁防治及各类工程机电设备用电，绿化管护</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4"/>
                <w:lang w:bidi="ar"/>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抽水设施改造、消防设施设备安装</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改造抽水设施，更换管道，安装消防管道、消防栓及微消防站</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已完成改造抽水设施，更换管道，安装消防管道、消防栓及微消防站</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达到饮用水标准</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保障水库管理人员身体健康</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保障水库管理人员身体健康</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宋体" w:cs="宋体"/>
                <w:color w:val="000000"/>
                <w:sz w:val="24"/>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保证设施、设备正常运行</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保证放水设施安全运行，各类设备运行正常</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保证放水设施安全运行，各类设备运行正常</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宋体" w:cs="宋体"/>
                <w:color w:val="000000"/>
                <w:sz w:val="24"/>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消除不安全隐患，保证安全用电；消除抽水安全隐患及消防安全隐患</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便于巡查管理、保证大坝安全；对各类线路维修检查，保证安全用电、节约用电；保障正常的生产和消防用水</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便于巡查管理、保证大坝安全；对各类线路维修检查，保证安全用电、节约用电；保障正常的生产和消防用水</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cs="宋体"/>
                <w:color w:val="000000"/>
                <w:sz w:val="24"/>
              </w:rPr>
            </w:pPr>
            <w:r>
              <w:rPr>
                <w:rFonts w:hint="eastAsia" w:ascii="宋体" w:cs="宋体"/>
                <w:color w:val="000000"/>
                <w:sz w:val="24"/>
              </w:rPr>
              <w:t>时效指标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完成时间</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2020年</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2020年</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成本指标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打井、修建蓄水池、安装供水设备及管网</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完成打井、修建蓄水池、安装供水设备及管网，共计14万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完成打井、修建蓄水池、安装供水设备及管网，共计14万</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成本指标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放水放空设施检修、钢绳保养等</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完成放水放空设施检修、钢绳保养等，共计15万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完成放水放空设施检修、钢绳保养等，共计15万</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成本指标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坝面除草、打药、白蚁防治启闭设备、抽水用电，绿化管护等</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完成坝面除草、打药、白蚁防治等，共计5万；完成启闭设备、抽水用电，绿化管护等，共计19.74万；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完成坝面除草、打药、白蚁防治等，共计5万；完成启闭设备、抽水用电，绿化管护等，共计19.74万；</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成本指标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防汛物流储备、演练等、渠道管护；抽水设施改造、消防设施设备安装</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完成防汛物流储备、演练等、渠道管护，共计13万；完成抽水设施改造、消防设施设备安装，共计13.26万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完成防汛物流储备、演练等、渠道管护，共计13万；完成抽水设施改造、消防设施设备安装，共计13.26万</w:t>
            </w:r>
          </w:p>
        </w:tc>
      </w:tr>
      <w:tr>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社会效益指标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完成工作任务</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确保水库水利工程安全、保护饮用水源、提高水质、促进社会稳定</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确保水库水利工程安全、保护饮用水源、提高水质、促进社会稳定</w:t>
            </w:r>
          </w:p>
        </w:tc>
      </w:tr>
      <w:tr>
        <w:tblPrEx>
          <w:tblCellMar>
            <w:top w:w="0" w:type="dxa"/>
            <w:left w:w="0" w:type="dxa"/>
            <w:bottom w:w="0" w:type="dxa"/>
            <w:right w:w="0" w:type="dxa"/>
          </w:tblCellMar>
        </w:tblPrEx>
        <w:trPr>
          <w:trHeight w:val="1050"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满意度指标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服务对象满意指标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服务对象满意度指标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9</w:t>
            </w:r>
            <w:r>
              <w:rPr>
                <w:rFonts w:hint="eastAsia" w:ascii="宋体" w:cs="宋体"/>
                <w:color w:val="000000"/>
                <w:sz w:val="24"/>
              </w:rPr>
              <w:t>0</w:t>
            </w:r>
            <w:r>
              <w:rPr>
                <w:rFonts w:ascii="宋体" w:cs="宋体"/>
                <w:color w:val="00000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90%</w:t>
            </w:r>
          </w:p>
        </w:tc>
      </w:tr>
      <w:tr>
        <w:tblPrEx>
          <w:tblCellMar>
            <w:top w:w="0" w:type="dxa"/>
            <w:left w:w="0" w:type="dxa"/>
            <w:bottom w:w="0" w:type="dxa"/>
            <w:right w:w="0" w:type="dxa"/>
          </w:tblCellMar>
        </w:tblPrEx>
        <w:trPr>
          <w:trHeight w:val="1050" w:hRule="atLeast"/>
          <w:jc w:val="center"/>
        </w:trPr>
        <w:tc>
          <w:tcPr>
            <w:tcW w:w="390" w:type="dxa"/>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满意度指标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服务对象满意指标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上级主管部门满意度（≥**%）</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95%</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95%</w:t>
            </w:r>
          </w:p>
        </w:tc>
      </w:tr>
      <w:tr>
        <w:tblPrEx>
          <w:tblCellMar>
            <w:top w:w="0" w:type="dxa"/>
            <w:left w:w="0" w:type="dxa"/>
            <w:bottom w:w="0" w:type="dxa"/>
            <w:right w:w="0" w:type="dxa"/>
          </w:tblCellMar>
        </w:tblPrEx>
        <w:trPr>
          <w:trHeight w:val="1034" w:hRule="atLeast"/>
          <w:jc w:val="center"/>
        </w:trPr>
        <w:tc>
          <w:tcPr>
            <w:tcW w:w="9960" w:type="dxa"/>
            <w:gridSpan w:val="6"/>
            <w:tcBorders>
              <w:top w:val="nil"/>
              <w:left w:val="nil"/>
              <w:bottom w:val="nil"/>
              <w:right w:val="nil"/>
            </w:tcBorders>
            <w:tcMar>
              <w:top w:w="15" w:type="dxa"/>
              <w:left w:w="15" w:type="dxa"/>
              <w:right w:w="15" w:type="dxa"/>
            </w:tcMar>
            <w:vAlign w:val="center"/>
          </w:tcPr>
          <w:p>
            <w:pPr>
              <w:widowControl/>
              <w:jc w:val="center"/>
              <w:textAlignment w:val="center"/>
              <w:rPr>
                <w:rFonts w:ascii="宋体" w:cs="宋体"/>
                <w:color w:val="000000"/>
                <w:sz w:val="36"/>
                <w:szCs w:val="36"/>
              </w:rPr>
            </w:pPr>
            <w:r>
              <w:rPr>
                <w:rFonts w:hint="eastAsia" w:ascii="宋体" w:hAnsi="宋体" w:cs="宋体"/>
                <w:b/>
                <w:bCs/>
                <w:color w:val="000000"/>
                <w:kern w:val="0"/>
                <w:sz w:val="36"/>
                <w:szCs w:val="36"/>
                <w:lang w:bidi="ar"/>
              </w:rPr>
              <w:t>项目绩效目标完成情况表</w:t>
            </w:r>
            <w:r>
              <w:rPr>
                <w:rFonts w:ascii="宋体" w:cs="宋体"/>
                <w:b/>
                <w:bCs/>
                <w:color w:val="000000"/>
                <w:kern w:val="0"/>
                <w:sz w:val="36"/>
                <w:szCs w:val="36"/>
                <w:lang w:bidi="ar"/>
              </w:rPr>
              <w:br w:type="textWrapping"/>
            </w:r>
            <w:r>
              <w:rPr>
                <w:rFonts w:ascii="宋体" w:hAnsi="宋体" w:cs="宋体"/>
                <w:color w:val="000000"/>
                <w:kern w:val="0"/>
                <w:sz w:val="36"/>
                <w:szCs w:val="36"/>
                <w:lang w:bidi="ar"/>
              </w:rPr>
              <w:t>(2020</w:t>
            </w:r>
            <w:r>
              <w:rPr>
                <w:rFonts w:hint="eastAsia" w:ascii="宋体" w:hAnsi="宋体" w:cs="宋体"/>
                <w:color w:val="000000"/>
                <w:kern w:val="0"/>
                <w:sz w:val="36"/>
                <w:szCs w:val="36"/>
                <w:lang w:bidi="ar"/>
              </w:rPr>
              <w:t>年度</w:t>
            </w:r>
            <w:r>
              <w:rPr>
                <w:rFonts w:ascii="宋体" w:hAnsi="宋体" w:cs="宋体"/>
                <w:color w:val="000000"/>
                <w:kern w:val="0"/>
                <w:sz w:val="36"/>
                <w:szCs w:val="36"/>
                <w:lang w:bidi="ar"/>
              </w:rPr>
              <w:t>)</w:t>
            </w:r>
          </w:p>
        </w:tc>
      </w:tr>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项目名称</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cs="宋体"/>
                <w:color w:val="000000"/>
                <w:sz w:val="24"/>
              </w:rPr>
            </w:pPr>
            <w:r>
              <w:rPr>
                <w:rFonts w:hint="eastAsia" w:ascii="宋体" w:cs="宋体"/>
                <w:color w:val="000000"/>
                <w:sz w:val="24"/>
              </w:rPr>
              <w:t>运行管理经费</w:t>
            </w:r>
          </w:p>
        </w:tc>
      </w:tr>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预算单位</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攀枝花市胜利水利工程运行中心</w:t>
            </w:r>
          </w:p>
        </w:tc>
      </w:tr>
      <w:tr>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预算执行情况</w:t>
            </w:r>
            <w:r>
              <w:rPr>
                <w:rFonts w:ascii="宋体" w:hAnsi="宋体" w:cs="宋体"/>
                <w:color w:val="000000"/>
                <w:kern w:val="0"/>
                <w:sz w:val="24"/>
                <w:lang w:bidi="ar"/>
              </w:rPr>
              <w:t>(</w:t>
            </w:r>
            <w:r>
              <w:rPr>
                <w:rFonts w:hint="eastAsia" w:ascii="宋体" w:hAnsi="宋体" w:cs="宋体"/>
                <w:color w:val="000000"/>
                <w:kern w:val="0"/>
                <w:sz w:val="24"/>
                <w:lang w:bidi="ar"/>
              </w:rPr>
              <w:t>万元</w:t>
            </w:r>
            <w:r>
              <w:rPr>
                <w:rFonts w:ascii="宋体" w:hAnsi="宋体" w:cs="宋体"/>
                <w:color w:val="000000"/>
                <w:kern w:val="0"/>
                <w:sz w:val="24"/>
                <w:lang w:bidi="ar"/>
              </w:rPr>
              <w:t>)</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预算数</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60</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执行数</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60</w:t>
            </w:r>
          </w:p>
        </w:tc>
      </w:tr>
      <w:tr>
        <w:tblPrEx>
          <w:tblCellMar>
            <w:top w:w="0" w:type="dxa"/>
            <w:left w:w="0" w:type="dxa"/>
            <w:bottom w:w="0" w:type="dxa"/>
            <w:right w:w="0" w:type="dxa"/>
          </w:tblCellMar>
        </w:tblPrEx>
        <w:trPr>
          <w:trHeight w:val="276"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其中</w:t>
            </w:r>
            <w:r>
              <w:rPr>
                <w:rFonts w:ascii="宋体" w:cs="宋体"/>
                <w:color w:val="000000"/>
                <w:kern w:val="0"/>
                <w:sz w:val="24"/>
                <w:lang w:bidi="ar"/>
              </w:rPr>
              <w:t>-</w:t>
            </w:r>
            <w:r>
              <w:rPr>
                <w:rFonts w:hint="eastAsia" w:ascii="宋体" w:hAnsi="宋体" w:cs="宋体"/>
                <w:color w:val="000000"/>
                <w:kern w:val="0"/>
                <w:sz w:val="24"/>
                <w:lang w:bidi="ar"/>
              </w:rPr>
              <w:t>财政拨款</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60</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其中</w:t>
            </w:r>
            <w:r>
              <w:rPr>
                <w:rFonts w:ascii="宋体" w:cs="宋体"/>
                <w:color w:val="000000"/>
                <w:kern w:val="0"/>
                <w:sz w:val="24"/>
                <w:lang w:bidi="ar"/>
              </w:rPr>
              <w:t>-</w:t>
            </w:r>
            <w:r>
              <w:rPr>
                <w:rFonts w:hint="eastAsia" w:ascii="宋体" w:hAnsi="宋体" w:cs="宋体"/>
                <w:color w:val="000000"/>
                <w:kern w:val="0"/>
                <w:sz w:val="24"/>
                <w:lang w:bidi="ar"/>
              </w:rPr>
              <w:t>财政拨款</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60</w:t>
            </w:r>
          </w:p>
        </w:tc>
      </w:tr>
      <w:tr>
        <w:tblPrEx>
          <w:tblCellMar>
            <w:top w:w="0" w:type="dxa"/>
            <w:left w:w="0" w:type="dxa"/>
            <w:bottom w:w="0" w:type="dxa"/>
            <w:right w:w="0" w:type="dxa"/>
          </w:tblCellMar>
        </w:tblPrEx>
        <w:trPr>
          <w:trHeight w:val="1407"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其它资金</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其它资金</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r>
      <w:tr>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预期目标</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实际完成目标</w:t>
            </w:r>
          </w:p>
        </w:tc>
      </w:tr>
      <w:tr>
        <w:tblPrEx>
          <w:tblCellMar>
            <w:top w:w="0" w:type="dxa"/>
            <w:left w:w="0" w:type="dxa"/>
            <w:bottom w:w="0" w:type="dxa"/>
            <w:right w:w="0" w:type="dxa"/>
          </w:tblCellMar>
        </w:tblPrEx>
        <w:trPr>
          <w:trHeight w:val="1159"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保障胜利水利工程中心正常开展工作、提升单位管理质量</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完成年初设定目标、保障中心工作的正常运行</w:t>
            </w:r>
          </w:p>
        </w:tc>
      </w:tr>
      <w:tr>
        <w:tblPrEx>
          <w:tblCellMar>
            <w:top w:w="0" w:type="dxa"/>
            <w:left w:w="0" w:type="dxa"/>
            <w:bottom w:w="0" w:type="dxa"/>
            <w:right w:w="0" w:type="dxa"/>
          </w:tblCellMar>
        </w:tblPrEx>
        <w:trPr>
          <w:trHeight w:val="1042" w:hRule="atLeast"/>
          <w:jc w:val="center"/>
        </w:trPr>
        <w:tc>
          <w:tcPr>
            <w:tcW w:w="39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一级指标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二级指标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三级指标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预期指标值</w:t>
            </w:r>
            <w:r>
              <w:rPr>
                <w:rFonts w:ascii="宋体" w:hAnsi="宋体" w:cs="宋体"/>
                <w:color w:val="000000"/>
                <w:kern w:val="0"/>
                <w:sz w:val="24"/>
                <w:lang w:bidi="ar"/>
              </w:rPr>
              <w:t>(</w:t>
            </w:r>
            <w:r>
              <w:rPr>
                <w:rFonts w:hint="eastAsia" w:ascii="宋体" w:hAnsi="宋体" w:cs="宋体"/>
                <w:color w:val="000000"/>
                <w:kern w:val="0"/>
                <w:sz w:val="24"/>
                <w:lang w:bidi="ar"/>
              </w:rPr>
              <w:t>包含数字及文字描述</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实际完成指标值</w:t>
            </w:r>
            <w:r>
              <w:rPr>
                <w:rFonts w:ascii="宋体" w:hAnsi="宋体" w:cs="宋体"/>
                <w:color w:val="000000"/>
                <w:kern w:val="0"/>
                <w:sz w:val="24"/>
                <w:lang w:bidi="ar"/>
              </w:rPr>
              <w:t>(</w:t>
            </w:r>
            <w:r>
              <w:rPr>
                <w:rFonts w:hint="eastAsia" w:ascii="宋体" w:hAnsi="宋体" w:cs="宋体"/>
                <w:color w:val="000000"/>
                <w:kern w:val="0"/>
                <w:sz w:val="24"/>
                <w:lang w:bidi="ar"/>
              </w:rPr>
              <w:t>包含数字及文字描述</w:t>
            </w:r>
            <w:r>
              <w:rPr>
                <w:rFonts w:ascii="宋体" w:hAnsi="宋体" w:cs="宋体"/>
                <w:color w:val="000000"/>
                <w:kern w:val="0"/>
                <w:sz w:val="24"/>
                <w:lang w:bidi="ar"/>
              </w:rPr>
              <w:t>)</w:t>
            </w:r>
          </w:p>
        </w:tc>
      </w:tr>
      <w:tr>
        <w:tblPrEx>
          <w:tblCellMar>
            <w:top w:w="0" w:type="dxa"/>
            <w:left w:w="0" w:type="dxa"/>
            <w:bottom w:w="0" w:type="dxa"/>
            <w:right w:w="0" w:type="dxa"/>
          </w:tblCellMar>
        </w:tblPrEx>
        <w:trPr>
          <w:trHeight w:val="953"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光钎租赁、网络维护、监控及办公设备维修维护</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三条光钎租赁费、网络监控维护费、设备维修维护费等</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完成三条光钎租赁费、网络监控维护费、设备维修维护等</w:t>
            </w:r>
          </w:p>
        </w:tc>
      </w:tr>
      <w:tr>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劳务费</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跃进水库房产管理劳务、库区巡查、漂浮物清捞等劳务费</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完成跃进水库房产的管理、库区巡查、漂浮物清捞等</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新招人员公用经费及社保等</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新进5人无法列入当年预算，需列支的社保、公积金等</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完成新进人员需要的办公条件</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4"/>
                <w:lang w:bidi="ar"/>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业务培训、宣传费</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专业技术等培训费、水资源保护宣传册、保护牌制作费</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已完成专业技术等培训费、水资源保护宣传册、保护牌制作费</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保障设施正常运行</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保障胜利水利运行中心设施设备运行良好、资产使用安全</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保障胜利水利运行中心设施设备运行良好、资产使用安全</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宋体" w:cs="宋体"/>
                <w:color w:val="000000"/>
                <w:sz w:val="24"/>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保障新进人员的正常工作条件</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rPr>
              <w:t>提高业务工作水平、保质保量完成工作任务</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rPr>
              <w:t>提高业务工作水平、保质保量完成工作任务</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cs="宋体"/>
                <w:color w:val="000000"/>
                <w:sz w:val="24"/>
              </w:rPr>
            </w:pPr>
            <w:r>
              <w:rPr>
                <w:rFonts w:hint="eastAsia" w:ascii="宋体" w:cs="宋体"/>
                <w:color w:val="000000"/>
                <w:sz w:val="24"/>
              </w:rPr>
              <w:t>时效指标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完成时间</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2020年</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2020年</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成本指标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设施、设备维修维护等费用</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全年共计35万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全年共计35万</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成本指标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工作经费</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全年共计25万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全年共计35万</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经济效益指标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完成非税收入</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预计完成非税收入120万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完成非税收入150.6万</w:t>
            </w:r>
          </w:p>
        </w:tc>
      </w:tr>
      <w:tr>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社会效益指标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对水库管理工作的促进作用</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rPr>
              <w:t>提高水库标准化、规范化管理，保障胜利水利工程运行中心正常运行</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rPr>
              <w:t>提高水库标准化、规范化管理，保障胜利水利工程运行中心正常运行</w:t>
            </w:r>
          </w:p>
        </w:tc>
      </w:tr>
      <w:tr>
        <w:tblPrEx>
          <w:tblCellMar>
            <w:top w:w="0" w:type="dxa"/>
            <w:left w:w="0" w:type="dxa"/>
            <w:bottom w:w="0" w:type="dxa"/>
            <w:right w:w="0" w:type="dxa"/>
          </w:tblCellMar>
        </w:tblPrEx>
        <w:trPr>
          <w:trHeight w:val="1050"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hAnsi="宋体" w:cs="宋体"/>
                <w:color w:val="000000"/>
                <w:kern w:val="0"/>
                <w:sz w:val="24"/>
                <w:lang w:bidi="ar"/>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生态效益指标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保证水质</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确保饮水水源地水质优良</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确保饮水水源地水质优良</w:t>
            </w:r>
          </w:p>
        </w:tc>
      </w:tr>
      <w:tr>
        <w:tblPrEx>
          <w:tblCellMar>
            <w:top w:w="0" w:type="dxa"/>
            <w:left w:w="0" w:type="dxa"/>
            <w:bottom w:w="0" w:type="dxa"/>
            <w:right w:w="0" w:type="dxa"/>
          </w:tblCellMar>
        </w:tblPrEx>
        <w:trPr>
          <w:trHeight w:val="1050" w:hRule="atLeast"/>
          <w:jc w:val="center"/>
        </w:trPr>
        <w:tc>
          <w:tcPr>
            <w:tcW w:w="390" w:type="dxa"/>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满意度指标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服务对象满意指标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群众满意度</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95%</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95%</w:t>
            </w:r>
          </w:p>
        </w:tc>
      </w:tr>
    </w:tbl>
    <w:p>
      <w:pPr>
        <w:spacing w:line="580" w:lineRule="exact"/>
        <w:ind w:left="630"/>
        <w:rPr>
          <w:rFonts w:ascii="仿宋_GB2312" w:hAnsi="仿宋_GB2312" w:eastAsia="仿宋_GB2312" w:cs="仿宋_GB2312"/>
          <w:sz w:val="32"/>
          <w:szCs w:val="32"/>
        </w:rPr>
      </w:pPr>
    </w:p>
    <w:tbl>
      <w:tblPr>
        <w:tblStyle w:val="15"/>
        <w:tblpPr w:leftFromText="180" w:rightFromText="180" w:vertAnchor="text" w:horzAnchor="page" w:tblpXSpec="center" w:tblpY="423"/>
        <w:tblOverlap w:val="never"/>
        <w:tblW w:w="0" w:type="auto"/>
        <w:jc w:val="center"/>
        <w:tblLayout w:type="fixed"/>
        <w:tblCellMar>
          <w:top w:w="0" w:type="dxa"/>
          <w:left w:w="0" w:type="dxa"/>
          <w:bottom w:w="0" w:type="dxa"/>
          <w:right w:w="0" w:type="dxa"/>
        </w:tblCellMar>
      </w:tblPr>
      <w:tblGrid>
        <w:gridCol w:w="390"/>
        <w:gridCol w:w="1367"/>
        <w:gridCol w:w="1025"/>
        <w:gridCol w:w="2392"/>
        <w:gridCol w:w="2394"/>
        <w:gridCol w:w="2392"/>
      </w:tblGrid>
      <w:tr>
        <w:tblPrEx>
          <w:tblCellMar>
            <w:top w:w="0" w:type="dxa"/>
            <w:left w:w="0" w:type="dxa"/>
            <w:bottom w:w="0" w:type="dxa"/>
            <w:right w:w="0" w:type="dxa"/>
          </w:tblCellMar>
        </w:tblPrEx>
        <w:trPr>
          <w:trHeight w:val="1034" w:hRule="atLeast"/>
          <w:jc w:val="center"/>
        </w:trPr>
        <w:tc>
          <w:tcPr>
            <w:tcW w:w="9960" w:type="dxa"/>
            <w:gridSpan w:val="6"/>
            <w:tcBorders>
              <w:top w:val="nil"/>
              <w:left w:val="nil"/>
              <w:bottom w:val="nil"/>
              <w:right w:val="nil"/>
            </w:tcBorders>
            <w:tcMar>
              <w:top w:w="15" w:type="dxa"/>
              <w:left w:w="15" w:type="dxa"/>
              <w:right w:w="15" w:type="dxa"/>
            </w:tcMar>
            <w:vAlign w:val="center"/>
          </w:tcPr>
          <w:p>
            <w:pPr>
              <w:widowControl/>
              <w:jc w:val="center"/>
              <w:textAlignment w:val="center"/>
              <w:rPr>
                <w:rFonts w:ascii="宋体" w:cs="宋体"/>
                <w:color w:val="000000"/>
                <w:sz w:val="36"/>
                <w:szCs w:val="36"/>
              </w:rPr>
            </w:pPr>
            <w:r>
              <w:rPr>
                <w:rFonts w:hint="eastAsia" w:ascii="宋体" w:hAnsi="宋体" w:cs="宋体"/>
                <w:b/>
                <w:bCs/>
                <w:color w:val="000000"/>
                <w:kern w:val="0"/>
                <w:sz w:val="36"/>
                <w:szCs w:val="36"/>
                <w:lang w:bidi="ar"/>
              </w:rPr>
              <w:t>项目绩效目标完成情况表</w:t>
            </w:r>
            <w:r>
              <w:rPr>
                <w:rFonts w:ascii="宋体" w:cs="宋体"/>
                <w:b/>
                <w:bCs/>
                <w:color w:val="000000"/>
                <w:kern w:val="0"/>
                <w:sz w:val="36"/>
                <w:szCs w:val="36"/>
                <w:lang w:bidi="ar"/>
              </w:rPr>
              <w:br w:type="textWrapping"/>
            </w:r>
            <w:r>
              <w:rPr>
                <w:rFonts w:ascii="宋体" w:hAnsi="宋体" w:cs="宋体"/>
                <w:color w:val="000000"/>
                <w:kern w:val="0"/>
                <w:sz w:val="36"/>
                <w:szCs w:val="36"/>
                <w:lang w:bidi="ar"/>
              </w:rPr>
              <w:t>(2020</w:t>
            </w:r>
            <w:r>
              <w:rPr>
                <w:rFonts w:hint="eastAsia" w:ascii="宋体" w:hAnsi="宋体" w:cs="宋体"/>
                <w:color w:val="000000"/>
                <w:kern w:val="0"/>
                <w:sz w:val="36"/>
                <w:szCs w:val="36"/>
                <w:lang w:bidi="ar"/>
              </w:rPr>
              <w:t>年度</w:t>
            </w:r>
            <w:r>
              <w:rPr>
                <w:rFonts w:ascii="宋体" w:hAnsi="宋体" w:cs="宋体"/>
                <w:color w:val="000000"/>
                <w:kern w:val="0"/>
                <w:sz w:val="36"/>
                <w:szCs w:val="36"/>
                <w:lang w:bidi="ar"/>
              </w:rPr>
              <w:t>)</w:t>
            </w:r>
          </w:p>
        </w:tc>
      </w:tr>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项目名称</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cs="宋体"/>
                <w:color w:val="000000"/>
                <w:sz w:val="24"/>
              </w:rPr>
            </w:pPr>
            <w:r>
              <w:rPr>
                <w:rFonts w:hint="eastAsia" w:ascii="宋体" w:cs="宋体"/>
                <w:color w:val="000000"/>
                <w:sz w:val="24"/>
              </w:rPr>
              <w:t>沙坝田水库除险加固工程</w:t>
            </w:r>
          </w:p>
        </w:tc>
      </w:tr>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预算单位</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攀枝花市胜利水利工程运行中心</w:t>
            </w:r>
          </w:p>
        </w:tc>
      </w:tr>
      <w:tr>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预算执行情况</w:t>
            </w:r>
            <w:r>
              <w:rPr>
                <w:rFonts w:ascii="宋体" w:hAnsi="宋体" w:cs="宋体"/>
                <w:color w:val="000000"/>
                <w:kern w:val="0"/>
                <w:sz w:val="24"/>
                <w:lang w:bidi="ar"/>
              </w:rPr>
              <w:t>(</w:t>
            </w:r>
            <w:r>
              <w:rPr>
                <w:rFonts w:hint="eastAsia" w:ascii="宋体" w:hAnsi="宋体" w:cs="宋体"/>
                <w:color w:val="000000"/>
                <w:kern w:val="0"/>
                <w:sz w:val="24"/>
                <w:lang w:bidi="ar"/>
              </w:rPr>
              <w:t>万元</w:t>
            </w:r>
            <w:r>
              <w:rPr>
                <w:rFonts w:ascii="宋体" w:hAnsi="宋体" w:cs="宋体"/>
                <w:color w:val="000000"/>
                <w:kern w:val="0"/>
                <w:sz w:val="24"/>
                <w:lang w:bidi="ar"/>
              </w:rPr>
              <w:t>)</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预算数</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223.48</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执行数</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190.16</w:t>
            </w:r>
          </w:p>
        </w:tc>
      </w:tr>
      <w:tr>
        <w:tblPrEx>
          <w:tblCellMar>
            <w:top w:w="0" w:type="dxa"/>
            <w:left w:w="0" w:type="dxa"/>
            <w:bottom w:w="0" w:type="dxa"/>
            <w:right w:w="0" w:type="dxa"/>
          </w:tblCellMar>
        </w:tblPrEx>
        <w:trPr>
          <w:trHeight w:val="276"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其中</w:t>
            </w:r>
            <w:r>
              <w:rPr>
                <w:rFonts w:ascii="宋体" w:cs="宋体"/>
                <w:color w:val="000000"/>
                <w:kern w:val="0"/>
                <w:sz w:val="24"/>
                <w:lang w:bidi="ar"/>
              </w:rPr>
              <w:t>-</w:t>
            </w:r>
            <w:r>
              <w:rPr>
                <w:rFonts w:hint="eastAsia" w:ascii="宋体" w:hAnsi="宋体" w:cs="宋体"/>
                <w:color w:val="000000"/>
                <w:kern w:val="0"/>
                <w:sz w:val="24"/>
                <w:lang w:bidi="ar"/>
              </w:rPr>
              <w:t>财政拨款</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223.48</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其中</w:t>
            </w:r>
            <w:r>
              <w:rPr>
                <w:rFonts w:ascii="宋体" w:cs="宋体"/>
                <w:color w:val="000000"/>
                <w:kern w:val="0"/>
                <w:sz w:val="24"/>
                <w:lang w:bidi="ar"/>
              </w:rPr>
              <w:t>-</w:t>
            </w:r>
            <w:r>
              <w:rPr>
                <w:rFonts w:hint="eastAsia" w:ascii="宋体" w:hAnsi="宋体" w:cs="宋体"/>
                <w:color w:val="000000"/>
                <w:kern w:val="0"/>
                <w:sz w:val="24"/>
                <w:lang w:bidi="ar"/>
              </w:rPr>
              <w:t>财政拨款</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190.16</w:t>
            </w:r>
          </w:p>
        </w:tc>
      </w:tr>
      <w:tr>
        <w:tblPrEx>
          <w:tblCellMar>
            <w:top w:w="0" w:type="dxa"/>
            <w:left w:w="0" w:type="dxa"/>
            <w:bottom w:w="0" w:type="dxa"/>
            <w:right w:w="0" w:type="dxa"/>
          </w:tblCellMar>
        </w:tblPrEx>
        <w:trPr>
          <w:trHeight w:val="1407"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其它资金</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其它资金</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r>
      <w:tr>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预期目标</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实际完成目标</w:t>
            </w:r>
          </w:p>
        </w:tc>
      </w:tr>
      <w:tr>
        <w:tblPrEx>
          <w:tblCellMar>
            <w:top w:w="0" w:type="dxa"/>
            <w:left w:w="0" w:type="dxa"/>
            <w:bottom w:w="0" w:type="dxa"/>
            <w:right w:w="0" w:type="dxa"/>
          </w:tblCellMar>
        </w:tblPrEx>
        <w:trPr>
          <w:trHeight w:val="1159"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2020年底完成主体工程，2021年底完成竣工验收</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已完成主体工程建设</w:t>
            </w:r>
          </w:p>
        </w:tc>
      </w:tr>
      <w:tr>
        <w:tblPrEx>
          <w:tblCellMar>
            <w:top w:w="0" w:type="dxa"/>
            <w:left w:w="0" w:type="dxa"/>
            <w:bottom w:w="0" w:type="dxa"/>
            <w:right w:w="0" w:type="dxa"/>
          </w:tblCellMar>
        </w:tblPrEx>
        <w:trPr>
          <w:trHeight w:val="1042" w:hRule="atLeast"/>
          <w:jc w:val="center"/>
        </w:trPr>
        <w:tc>
          <w:tcPr>
            <w:tcW w:w="39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一级指标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二级指标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三级指标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预期指标值</w:t>
            </w:r>
            <w:r>
              <w:rPr>
                <w:rFonts w:ascii="宋体" w:hAnsi="宋体" w:cs="宋体"/>
                <w:color w:val="000000"/>
                <w:kern w:val="0"/>
                <w:sz w:val="24"/>
                <w:lang w:bidi="ar"/>
              </w:rPr>
              <w:t>(</w:t>
            </w:r>
            <w:r>
              <w:rPr>
                <w:rFonts w:hint="eastAsia" w:ascii="宋体" w:hAnsi="宋体" w:cs="宋体"/>
                <w:color w:val="000000"/>
                <w:kern w:val="0"/>
                <w:sz w:val="24"/>
                <w:lang w:bidi="ar"/>
              </w:rPr>
              <w:t>包含数字及文字描述</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实际完成指标值</w:t>
            </w:r>
            <w:r>
              <w:rPr>
                <w:rFonts w:ascii="宋体" w:hAnsi="宋体" w:cs="宋体"/>
                <w:color w:val="000000"/>
                <w:kern w:val="0"/>
                <w:sz w:val="24"/>
                <w:lang w:bidi="ar"/>
              </w:rPr>
              <w:t>(</w:t>
            </w:r>
            <w:r>
              <w:rPr>
                <w:rFonts w:hint="eastAsia" w:ascii="宋体" w:hAnsi="宋体" w:cs="宋体"/>
                <w:color w:val="000000"/>
                <w:kern w:val="0"/>
                <w:sz w:val="24"/>
                <w:lang w:bidi="ar"/>
              </w:rPr>
              <w:t>包含数字及文字描述</w:t>
            </w:r>
            <w:r>
              <w:rPr>
                <w:rFonts w:ascii="宋体" w:hAnsi="宋体" w:cs="宋体"/>
                <w:color w:val="000000"/>
                <w:kern w:val="0"/>
                <w:sz w:val="24"/>
                <w:lang w:bidi="ar"/>
              </w:rPr>
              <w:t>)</w:t>
            </w:r>
          </w:p>
        </w:tc>
      </w:tr>
      <w:tr>
        <w:tblPrEx>
          <w:tblCellMar>
            <w:top w:w="0" w:type="dxa"/>
            <w:left w:w="0" w:type="dxa"/>
            <w:bottom w:w="0" w:type="dxa"/>
            <w:right w:w="0" w:type="dxa"/>
          </w:tblCellMar>
        </w:tblPrEx>
        <w:trPr>
          <w:trHeight w:val="953"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修建自动化监测系统（套）、更换橡胶止水带（项）</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修建自动化监测系统（套）、更换橡胶止水带（项）</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完成修建自动化监测系统（1套）、更换橡胶止水带（1项）</w:t>
            </w:r>
          </w:p>
        </w:tc>
      </w:tr>
      <w:tr>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信息化建设云平台（套）</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信息化建设云平台</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完成信息化建设云平台</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闸室整治（项）</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闸室整治（项）</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完成闸室整治（项）</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4"/>
                <w:lang w:bidi="ar"/>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修建防汛抢险道路（米）</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修建防汛抢险道路350米</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修建防汛抢险道路350米</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工程设计施工设计标准</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符合规范</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符合规范</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宋体" w:cs="宋体"/>
                <w:color w:val="000000"/>
                <w:sz w:val="24"/>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工程施工监理</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rPr>
              <w:t>符合规范</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rPr>
              <w:t>符合规范</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cs="宋体"/>
                <w:color w:val="000000"/>
                <w:sz w:val="24"/>
              </w:rPr>
            </w:pPr>
            <w:r>
              <w:rPr>
                <w:rFonts w:hint="eastAsia" w:ascii="宋体" w:cs="宋体"/>
                <w:color w:val="000000"/>
                <w:sz w:val="24"/>
              </w:rPr>
              <w:t>时效指标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完成时间</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2020年</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2020年</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成本指标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修建自动化监测系统（套）信息化建设云平台（套）闸室整治（项）、修建防汛抢险道路</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 xml:space="preserve"> 预算共计225万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完成190.16万</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经济效益指标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促进区域经济社会发展</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发生设计标准内洪水工程不受严重影响</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发生设计标准内洪水工程不受严重影响</w:t>
            </w:r>
          </w:p>
        </w:tc>
      </w:tr>
      <w:tr>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社会效益指标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确保沙坝田水库大坝安全</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rPr>
              <w:t>促进沙坝田水库大坝安全管理</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rPr>
              <w:t>促进沙坝田水库大坝安全管理</w:t>
            </w:r>
          </w:p>
        </w:tc>
      </w:tr>
      <w:tr>
        <w:tblPrEx>
          <w:tblCellMar>
            <w:top w:w="0" w:type="dxa"/>
            <w:left w:w="0" w:type="dxa"/>
            <w:bottom w:w="0" w:type="dxa"/>
            <w:right w:w="0" w:type="dxa"/>
          </w:tblCellMar>
        </w:tblPrEx>
        <w:trPr>
          <w:trHeight w:val="1050"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hAnsi="宋体" w:cs="宋体"/>
                <w:color w:val="000000"/>
                <w:kern w:val="0"/>
                <w:sz w:val="24"/>
                <w:lang w:bidi="ar"/>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可持续影响指标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有效年限</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长期</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长期</w:t>
            </w:r>
          </w:p>
        </w:tc>
      </w:tr>
      <w:tr>
        <w:tblPrEx>
          <w:tblCellMar>
            <w:top w:w="0" w:type="dxa"/>
            <w:left w:w="0" w:type="dxa"/>
            <w:bottom w:w="0" w:type="dxa"/>
            <w:right w:w="0" w:type="dxa"/>
          </w:tblCellMar>
        </w:tblPrEx>
        <w:trPr>
          <w:trHeight w:val="1050" w:hRule="atLeast"/>
          <w:jc w:val="center"/>
        </w:trPr>
        <w:tc>
          <w:tcPr>
            <w:tcW w:w="390" w:type="dxa"/>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满意度指标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服务对象满意指标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水利工程管理考核满意度</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≥80%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≥80%</w:t>
            </w:r>
          </w:p>
        </w:tc>
      </w:tr>
      <w:tr>
        <w:tblPrEx>
          <w:tblCellMar>
            <w:top w:w="0" w:type="dxa"/>
            <w:left w:w="0" w:type="dxa"/>
            <w:bottom w:w="0" w:type="dxa"/>
            <w:right w:w="0" w:type="dxa"/>
          </w:tblCellMar>
        </w:tblPrEx>
        <w:trPr>
          <w:trHeight w:val="1034" w:hRule="atLeast"/>
          <w:jc w:val="center"/>
        </w:trPr>
        <w:tc>
          <w:tcPr>
            <w:tcW w:w="9960" w:type="dxa"/>
            <w:gridSpan w:val="6"/>
            <w:tcBorders>
              <w:top w:val="nil"/>
              <w:left w:val="nil"/>
              <w:bottom w:val="nil"/>
              <w:right w:val="nil"/>
            </w:tcBorders>
            <w:tcMar>
              <w:top w:w="15" w:type="dxa"/>
              <w:left w:w="15" w:type="dxa"/>
              <w:right w:w="15" w:type="dxa"/>
            </w:tcMar>
            <w:vAlign w:val="center"/>
          </w:tcPr>
          <w:p>
            <w:pPr>
              <w:widowControl/>
              <w:jc w:val="center"/>
              <w:textAlignment w:val="center"/>
              <w:rPr>
                <w:rFonts w:ascii="宋体" w:cs="宋体"/>
                <w:color w:val="000000"/>
                <w:sz w:val="36"/>
                <w:szCs w:val="36"/>
              </w:rPr>
            </w:pPr>
            <w:r>
              <w:rPr>
                <w:rFonts w:hint="eastAsia" w:ascii="宋体" w:hAnsi="宋体" w:cs="宋体"/>
                <w:b/>
                <w:bCs/>
                <w:color w:val="000000"/>
                <w:kern w:val="0"/>
                <w:sz w:val="36"/>
                <w:szCs w:val="36"/>
                <w:lang w:bidi="ar"/>
              </w:rPr>
              <w:t>项目绩效目标完成情况表</w:t>
            </w:r>
            <w:r>
              <w:rPr>
                <w:rFonts w:ascii="宋体" w:cs="宋体"/>
                <w:b/>
                <w:bCs/>
                <w:color w:val="000000"/>
                <w:kern w:val="0"/>
                <w:sz w:val="36"/>
                <w:szCs w:val="36"/>
                <w:lang w:bidi="ar"/>
              </w:rPr>
              <w:br w:type="textWrapping"/>
            </w:r>
            <w:r>
              <w:rPr>
                <w:rFonts w:ascii="宋体" w:hAnsi="宋体" w:cs="宋体"/>
                <w:color w:val="000000"/>
                <w:kern w:val="0"/>
                <w:sz w:val="36"/>
                <w:szCs w:val="36"/>
                <w:lang w:bidi="ar"/>
              </w:rPr>
              <w:t>(2020</w:t>
            </w:r>
            <w:r>
              <w:rPr>
                <w:rFonts w:hint="eastAsia" w:ascii="宋体" w:hAnsi="宋体" w:cs="宋体"/>
                <w:color w:val="000000"/>
                <w:kern w:val="0"/>
                <w:sz w:val="36"/>
                <w:szCs w:val="36"/>
                <w:lang w:bidi="ar"/>
              </w:rPr>
              <w:t>年度</w:t>
            </w:r>
            <w:r>
              <w:rPr>
                <w:rFonts w:ascii="宋体" w:hAnsi="宋体" w:cs="宋体"/>
                <w:color w:val="000000"/>
                <w:kern w:val="0"/>
                <w:sz w:val="36"/>
                <w:szCs w:val="36"/>
                <w:lang w:bidi="ar"/>
              </w:rPr>
              <w:t>)</w:t>
            </w:r>
          </w:p>
        </w:tc>
      </w:tr>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项目名称</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cs="宋体"/>
                <w:color w:val="000000"/>
                <w:sz w:val="24"/>
              </w:rPr>
            </w:pPr>
            <w:r>
              <w:rPr>
                <w:rFonts w:hint="eastAsia" w:ascii="宋体" w:cs="宋体"/>
                <w:color w:val="000000"/>
                <w:sz w:val="24"/>
              </w:rPr>
              <w:t>胜利水库干渠抗旱工程节水改造</w:t>
            </w:r>
          </w:p>
        </w:tc>
      </w:tr>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预算单位</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攀枝花市胜利水利工程运行中心</w:t>
            </w:r>
          </w:p>
        </w:tc>
      </w:tr>
      <w:tr>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预算执行情况</w:t>
            </w:r>
            <w:r>
              <w:rPr>
                <w:rFonts w:ascii="宋体" w:hAnsi="宋体" w:cs="宋体"/>
                <w:color w:val="000000"/>
                <w:kern w:val="0"/>
                <w:sz w:val="24"/>
                <w:lang w:bidi="ar"/>
              </w:rPr>
              <w:t>(</w:t>
            </w:r>
            <w:r>
              <w:rPr>
                <w:rFonts w:hint="eastAsia" w:ascii="宋体" w:hAnsi="宋体" w:cs="宋体"/>
                <w:color w:val="000000"/>
                <w:kern w:val="0"/>
                <w:sz w:val="24"/>
                <w:lang w:bidi="ar"/>
              </w:rPr>
              <w:t>万元</w:t>
            </w:r>
            <w:r>
              <w:rPr>
                <w:rFonts w:ascii="宋体" w:hAnsi="宋体" w:cs="宋体"/>
                <w:color w:val="000000"/>
                <w:kern w:val="0"/>
                <w:sz w:val="24"/>
                <w:lang w:bidi="ar"/>
              </w:rPr>
              <w:t>)</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预算数</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200</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执行数</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191.44</w:t>
            </w:r>
          </w:p>
        </w:tc>
      </w:tr>
      <w:tr>
        <w:tblPrEx>
          <w:tblCellMar>
            <w:top w:w="0" w:type="dxa"/>
            <w:left w:w="0" w:type="dxa"/>
            <w:bottom w:w="0" w:type="dxa"/>
            <w:right w:w="0" w:type="dxa"/>
          </w:tblCellMar>
        </w:tblPrEx>
        <w:trPr>
          <w:trHeight w:val="276"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其中</w:t>
            </w:r>
            <w:r>
              <w:rPr>
                <w:rFonts w:ascii="宋体" w:cs="宋体"/>
                <w:color w:val="000000"/>
                <w:kern w:val="0"/>
                <w:sz w:val="24"/>
                <w:lang w:bidi="ar"/>
              </w:rPr>
              <w:t>-</w:t>
            </w:r>
            <w:r>
              <w:rPr>
                <w:rFonts w:hint="eastAsia" w:ascii="宋体" w:hAnsi="宋体" w:cs="宋体"/>
                <w:color w:val="000000"/>
                <w:kern w:val="0"/>
                <w:sz w:val="24"/>
                <w:lang w:bidi="ar"/>
              </w:rPr>
              <w:t>财政拨款</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200</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其中</w:t>
            </w:r>
            <w:r>
              <w:rPr>
                <w:rFonts w:ascii="宋体" w:cs="宋体"/>
                <w:color w:val="000000"/>
                <w:kern w:val="0"/>
                <w:sz w:val="24"/>
                <w:lang w:bidi="ar"/>
              </w:rPr>
              <w:t>-</w:t>
            </w:r>
            <w:r>
              <w:rPr>
                <w:rFonts w:hint="eastAsia" w:ascii="宋体" w:hAnsi="宋体" w:cs="宋体"/>
                <w:color w:val="000000"/>
                <w:kern w:val="0"/>
                <w:sz w:val="24"/>
                <w:lang w:bidi="ar"/>
              </w:rPr>
              <w:t>财政拨款</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191.44</w:t>
            </w:r>
          </w:p>
        </w:tc>
      </w:tr>
      <w:tr>
        <w:tblPrEx>
          <w:tblCellMar>
            <w:top w:w="0" w:type="dxa"/>
            <w:left w:w="0" w:type="dxa"/>
            <w:bottom w:w="0" w:type="dxa"/>
            <w:right w:w="0" w:type="dxa"/>
          </w:tblCellMar>
        </w:tblPrEx>
        <w:trPr>
          <w:trHeight w:val="1407"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其它资金</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其它资金</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r>
      <w:tr>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预期目标</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实际完成目标</w:t>
            </w:r>
          </w:p>
        </w:tc>
      </w:tr>
      <w:tr>
        <w:tblPrEx>
          <w:tblCellMar>
            <w:top w:w="0" w:type="dxa"/>
            <w:left w:w="0" w:type="dxa"/>
            <w:bottom w:w="0" w:type="dxa"/>
            <w:right w:w="0" w:type="dxa"/>
          </w:tblCellMar>
        </w:tblPrEx>
        <w:trPr>
          <w:trHeight w:val="1159"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防旱抗旱水利工程设施水毁修复2处，兴建防旱抗旱蓄水池4座，兴建防旱抗旱输水管道2km。</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新建蓄水池3个，新建输水管道2734.35m，新增闸阀74个(套)，新建管理房4间。</w:t>
            </w:r>
          </w:p>
        </w:tc>
      </w:tr>
      <w:tr>
        <w:tblPrEx>
          <w:tblCellMar>
            <w:top w:w="0" w:type="dxa"/>
            <w:left w:w="0" w:type="dxa"/>
            <w:bottom w:w="0" w:type="dxa"/>
            <w:right w:w="0" w:type="dxa"/>
          </w:tblCellMar>
        </w:tblPrEx>
        <w:trPr>
          <w:trHeight w:val="1042" w:hRule="atLeast"/>
          <w:jc w:val="center"/>
        </w:trPr>
        <w:tc>
          <w:tcPr>
            <w:tcW w:w="39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一级指标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二级指标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三级指标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预期指标值</w:t>
            </w:r>
            <w:r>
              <w:rPr>
                <w:rFonts w:ascii="宋体" w:hAnsi="宋体" w:cs="宋体"/>
                <w:color w:val="000000"/>
                <w:kern w:val="0"/>
                <w:sz w:val="24"/>
                <w:lang w:bidi="ar"/>
              </w:rPr>
              <w:t>(</w:t>
            </w:r>
            <w:r>
              <w:rPr>
                <w:rFonts w:hint="eastAsia" w:ascii="宋体" w:hAnsi="宋体" w:cs="宋体"/>
                <w:color w:val="000000"/>
                <w:kern w:val="0"/>
                <w:sz w:val="24"/>
                <w:lang w:bidi="ar"/>
              </w:rPr>
              <w:t>包含数字及文字描述</w:t>
            </w:r>
            <w:r>
              <w:rPr>
                <w:rFonts w:ascii="宋体" w:hAnsi="宋体" w:cs="宋体"/>
                <w:color w:val="000000"/>
                <w:kern w:val="0"/>
                <w:sz w:val="24"/>
                <w:lang w:bidi="ar"/>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实际完成指标值</w:t>
            </w:r>
            <w:r>
              <w:rPr>
                <w:rFonts w:ascii="宋体" w:hAnsi="宋体" w:cs="宋体"/>
                <w:color w:val="000000"/>
                <w:kern w:val="0"/>
                <w:sz w:val="24"/>
                <w:lang w:bidi="ar"/>
              </w:rPr>
              <w:t>(</w:t>
            </w:r>
            <w:r>
              <w:rPr>
                <w:rFonts w:hint="eastAsia" w:ascii="宋体" w:hAnsi="宋体" w:cs="宋体"/>
                <w:color w:val="000000"/>
                <w:kern w:val="0"/>
                <w:sz w:val="24"/>
                <w:lang w:bidi="ar"/>
              </w:rPr>
              <w:t>包含数字及文字描述</w:t>
            </w:r>
            <w:r>
              <w:rPr>
                <w:rFonts w:ascii="宋体" w:hAnsi="宋体" w:cs="宋体"/>
                <w:color w:val="000000"/>
                <w:kern w:val="0"/>
                <w:sz w:val="24"/>
                <w:lang w:bidi="ar"/>
              </w:rPr>
              <w:t>)</w:t>
            </w:r>
          </w:p>
        </w:tc>
      </w:tr>
      <w:tr>
        <w:tblPrEx>
          <w:tblCellMar>
            <w:top w:w="0" w:type="dxa"/>
            <w:left w:w="0" w:type="dxa"/>
            <w:bottom w:w="0" w:type="dxa"/>
            <w:right w:w="0" w:type="dxa"/>
          </w:tblCellMar>
        </w:tblPrEx>
        <w:trPr>
          <w:trHeight w:val="953"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水利工程设施水毁修复数量（处）</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2</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0</w:t>
            </w:r>
          </w:p>
        </w:tc>
      </w:tr>
      <w:tr>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兴建抗旱蓄水池（座）</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4座</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3座</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兴建抗旱输水管道（km）</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2公里</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实际完成2.73公里</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4"/>
                <w:lang w:bidi="ar"/>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新建管理房</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4</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工程设计施工设计标准、工程施工监理</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符合规范</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符合规范</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r>
              <w:rPr>
                <w:rFonts w:hint="eastAsia" w:ascii="宋体" w:cs="宋体"/>
                <w:color w:val="000000"/>
                <w:sz w:val="24"/>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工程施工验收</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rPr>
              <w:t>通过验收</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rPr>
              <w:t>通过验收</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cs="宋体"/>
                <w:color w:val="000000"/>
                <w:sz w:val="24"/>
              </w:rPr>
            </w:pPr>
            <w:r>
              <w:rPr>
                <w:rFonts w:hint="eastAsia" w:ascii="宋体" w:cs="宋体"/>
                <w:color w:val="000000"/>
                <w:sz w:val="24"/>
              </w:rPr>
              <w:t>时效指标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完成时间</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2020年</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2020年</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成本指标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兴建蓄水池、输水管理及新建管理房</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预计200万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支付191.44万</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经济效益指标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促进区域经济社会发展</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改善农田灌溉，提高了年作物产量年可节水30万m³</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改善农田灌溉，提高了年作物产量年可节水30万m³</w:t>
            </w:r>
          </w:p>
        </w:tc>
      </w:tr>
      <w:tr>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社会效益指标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保障水利工程完整及安全运行</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rPr>
              <w:t>改善4500亩灌面，使灌区2500名群众直接受益</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rPr>
              <w:t>改善4500亩灌面，使灌区2500名群众直接受益</w:t>
            </w:r>
          </w:p>
        </w:tc>
      </w:tr>
      <w:tr>
        <w:tblPrEx>
          <w:tblCellMar>
            <w:top w:w="0" w:type="dxa"/>
            <w:left w:w="0" w:type="dxa"/>
            <w:bottom w:w="0" w:type="dxa"/>
            <w:right w:w="0" w:type="dxa"/>
          </w:tblCellMar>
        </w:tblPrEx>
        <w:trPr>
          <w:trHeight w:val="1050"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hAnsi="宋体" w:cs="宋体"/>
                <w:color w:val="000000"/>
                <w:kern w:val="0"/>
                <w:sz w:val="24"/>
                <w:lang w:bidi="ar"/>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cs="宋体"/>
                <w:color w:val="000000"/>
                <w:sz w:val="24"/>
              </w:rPr>
            </w:pPr>
            <w:r>
              <w:rPr>
                <w:rFonts w:hint="eastAsia" w:ascii="宋体" w:cs="宋体"/>
                <w:color w:val="000000"/>
                <w:sz w:val="24"/>
              </w:rPr>
              <w:t>生态效益指标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促进地区生态和谐发展</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生态环境得到改善，灌区生态需水得到满足。</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生态环境得到改善，灌区生态需水得到满足。</w:t>
            </w:r>
          </w:p>
        </w:tc>
      </w:tr>
      <w:tr>
        <w:tblPrEx>
          <w:tblCellMar>
            <w:top w:w="0" w:type="dxa"/>
            <w:left w:w="0" w:type="dxa"/>
            <w:bottom w:w="0" w:type="dxa"/>
            <w:right w:w="0" w:type="dxa"/>
          </w:tblCellMar>
        </w:tblPrEx>
        <w:trPr>
          <w:trHeight w:val="1050" w:hRule="atLeast"/>
          <w:jc w:val="center"/>
        </w:trPr>
        <w:tc>
          <w:tcPr>
            <w:tcW w:w="390" w:type="dxa"/>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满意度指标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服务对象满意指标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运行管理单位满意度</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95%</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95%</w:t>
            </w:r>
          </w:p>
        </w:tc>
      </w:tr>
    </w:tbl>
    <w:p>
      <w:pPr>
        <w:spacing w:line="580" w:lineRule="exact"/>
        <w:rPr>
          <w:rFonts w:ascii="仿宋_GB2312" w:hAnsi="仿宋_GB2312" w:eastAsia="仿宋_GB2312" w:cs="仿宋_GB2312"/>
          <w:sz w:val="32"/>
          <w:szCs w:val="32"/>
        </w:rPr>
      </w:pPr>
    </w:p>
    <w:p>
      <w:pPr>
        <w:spacing w:line="580" w:lineRule="exact"/>
        <w:ind w:left="630"/>
        <w:rPr>
          <w:rFonts w:ascii="仿宋_GB2312" w:hAnsi="仿宋_GB2312" w:eastAsia="仿宋_GB2312" w:cs="仿宋_GB2312"/>
          <w:sz w:val="32"/>
          <w:szCs w:val="32"/>
        </w:rPr>
      </w:pPr>
      <w:r>
        <w:rPr>
          <w:rFonts w:ascii="楷体_GB2312" w:hAnsi="楷体_GB2312" w:eastAsia="楷体_GB2312" w:cs="楷体_GB2312"/>
          <w:sz w:val="32"/>
          <w:szCs w:val="32"/>
        </w:rPr>
        <w:t>2.</w:t>
      </w:r>
      <w:r>
        <w:rPr>
          <w:rFonts w:hint="eastAsia" w:ascii="楷体_GB2312" w:hAnsi="楷体_GB2312" w:eastAsia="楷体_GB2312" w:cs="楷体_GB2312"/>
          <w:sz w:val="32"/>
          <w:szCs w:val="32"/>
        </w:rPr>
        <w:t>部门绩效评价结果。</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本部门按要求对</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年部门整体支出绩效评价情况开展自评，《市胜利水利工程运行中心</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年部门整体支出绩效评价报告》见附件（附件</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w:t>
      </w:r>
    </w:p>
    <w:p>
      <w:pPr>
        <w:spacing w:line="580" w:lineRule="exact"/>
        <w:ind w:firstLine="640" w:firstLineChars="200"/>
        <w:rPr>
          <w:rFonts w:ascii="仿宋_GB2312" w:eastAsia="仿宋_GB2312"/>
          <w:b/>
          <w:color w:val="000000"/>
          <w:sz w:val="32"/>
          <w:szCs w:val="32"/>
        </w:rPr>
      </w:pPr>
      <w:r>
        <w:rPr>
          <w:rFonts w:hint="eastAsia" w:ascii="仿宋_GB2312" w:hAnsi="仿宋_GB2312" w:eastAsia="仿宋_GB2312" w:cs="仿宋_GB2312"/>
          <w:sz w:val="32"/>
          <w:szCs w:val="32"/>
        </w:rPr>
        <w:t>本部门自行组织对维修养护经费项目、运行管理经费项目、沙坝田水库除险加固项目、干渠节水改造项目开展了绩效评价，《维修养护经费项目</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年绩效评价报告》等报告见附件（附件</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）。（非涉密部门均需公开部门整体支出评价报告，部门自行组织的绩效评价情况根据部门实际公开，若未组织项目绩效评价，则只需说明部门整体支出绩效评价情况）</w:t>
      </w:r>
    </w:p>
    <w:p>
      <w:pPr>
        <w:widowControl/>
        <w:jc w:val="left"/>
        <w:rPr>
          <w:rFonts w:ascii="仿宋_GB2312" w:eastAsia="仿宋_GB2312"/>
          <w:b/>
          <w:color w:val="000000"/>
          <w:sz w:val="32"/>
          <w:szCs w:val="32"/>
        </w:rPr>
      </w:pPr>
      <w:r>
        <w:rPr>
          <w:rFonts w:ascii="仿宋_GB2312" w:eastAsia="仿宋_GB2312"/>
          <w:b/>
          <w:color w:val="000000"/>
          <w:sz w:val="32"/>
          <w:szCs w:val="32"/>
        </w:rPr>
        <w:br w:type="page"/>
      </w:r>
    </w:p>
    <w:p>
      <w:pPr>
        <w:numPr>
          <w:ilvl w:val="0"/>
          <w:numId w:val="3"/>
        </w:numPr>
        <w:spacing w:line="600" w:lineRule="exact"/>
        <w:ind w:firstLine="660" w:firstLineChars="150"/>
        <w:jc w:val="center"/>
        <w:outlineLvl w:val="0"/>
        <w:rPr>
          <w:rStyle w:val="26"/>
          <w:rFonts w:ascii="黑体" w:hAnsi="黑体" w:eastAsia="黑体"/>
          <w:b w:val="0"/>
        </w:rPr>
      </w:pPr>
      <w:bookmarkStart w:id="157" w:name="_Toc2657"/>
      <w:bookmarkStart w:id="158" w:name="_Toc32723"/>
      <w:bookmarkStart w:id="159" w:name="_Toc15396613"/>
      <w:bookmarkStart w:id="160" w:name="_Toc15377225"/>
      <w:bookmarkStart w:id="161" w:name="_Toc24031"/>
      <w:bookmarkStart w:id="162" w:name="_Toc3444"/>
      <w:r>
        <w:rPr>
          <w:rFonts w:hint="eastAsia" w:ascii="黑体" w:hAnsi="黑体" w:eastAsia="黑体"/>
          <w:color w:val="000000"/>
          <w:sz w:val="44"/>
          <w:szCs w:val="44"/>
        </w:rPr>
        <w:t>名</w:t>
      </w:r>
      <w:r>
        <w:rPr>
          <w:rStyle w:val="26"/>
          <w:rFonts w:hint="eastAsia" w:ascii="黑体" w:hAnsi="黑体" w:eastAsia="黑体"/>
          <w:b w:val="0"/>
        </w:rPr>
        <w:t>词解释</w:t>
      </w:r>
      <w:bookmarkEnd w:id="157"/>
      <w:bookmarkEnd w:id="158"/>
      <w:bookmarkEnd w:id="159"/>
      <w:bookmarkEnd w:id="160"/>
      <w:bookmarkEnd w:id="161"/>
      <w:bookmarkEnd w:id="162"/>
    </w:p>
    <w:p>
      <w:pPr>
        <w:spacing w:line="600" w:lineRule="exact"/>
        <w:jc w:val="left"/>
        <w:rPr>
          <w:rFonts w:ascii="宋体"/>
          <w:b/>
          <w:color w:val="000000"/>
          <w:sz w:val="44"/>
          <w:szCs w:val="44"/>
        </w:rPr>
      </w:pPr>
    </w:p>
    <w:p>
      <w:pPr>
        <w:pStyle w:val="31"/>
        <w:spacing w:line="560" w:lineRule="exact"/>
        <w:ind w:firstLine="640" w:firstLineChars="200"/>
        <w:rPr>
          <w:rFonts w:ascii="Times New Roman" w:eastAsia="仿宋_GB2312" w:cs="Times New Roman"/>
          <w:sz w:val="32"/>
          <w:szCs w:val="32"/>
        </w:rPr>
      </w:pPr>
      <w:bookmarkStart w:id="163" w:name="_Toc15377226"/>
      <w:r>
        <w:rPr>
          <w:rFonts w:ascii="Times New Roman" w:eastAsia="仿宋_GB2312" w:cs="Times New Roman"/>
          <w:sz w:val="32"/>
          <w:szCs w:val="32"/>
        </w:rPr>
        <w:t>1.财政拨款收入：指单位从同级财政部门取得的财政预算资金。</w:t>
      </w:r>
    </w:p>
    <w:p>
      <w:pPr>
        <w:pStyle w:val="31"/>
        <w:spacing w:line="560" w:lineRule="exact"/>
        <w:ind w:firstLine="640" w:firstLineChars="200"/>
        <w:rPr>
          <w:rFonts w:ascii="Times New Roman" w:eastAsia="仿宋_GB2312" w:cs="Times New Roman"/>
          <w:sz w:val="32"/>
          <w:szCs w:val="32"/>
        </w:rPr>
      </w:pPr>
      <w:r>
        <w:rPr>
          <w:rFonts w:ascii="Times New Roman" w:eastAsia="仿宋_GB2312" w:cs="Times New Roman"/>
          <w:sz w:val="32"/>
          <w:szCs w:val="32"/>
        </w:rPr>
        <w:t>2.事业收入：指事业单位开展专业业务活动及辅助活动取得的收入。</w:t>
      </w:r>
    </w:p>
    <w:p>
      <w:pPr>
        <w:pStyle w:val="31"/>
        <w:spacing w:line="560" w:lineRule="exact"/>
        <w:ind w:firstLine="640" w:firstLineChars="200"/>
        <w:rPr>
          <w:rFonts w:ascii="Times New Roman" w:eastAsia="仿宋_GB2312" w:cs="Times New Roman"/>
          <w:sz w:val="32"/>
          <w:szCs w:val="32"/>
        </w:rPr>
      </w:pPr>
      <w:r>
        <w:rPr>
          <w:rFonts w:ascii="Times New Roman" w:eastAsia="仿宋_GB2312" w:cs="Times New Roman"/>
          <w:sz w:val="32"/>
          <w:szCs w:val="32"/>
        </w:rPr>
        <w:t>3.经营收入：指事业单位在专业业务活动及其辅助活动之外开展非独立核算经营活动取得的收入。</w:t>
      </w:r>
    </w:p>
    <w:p>
      <w:pPr>
        <w:pStyle w:val="31"/>
        <w:spacing w:line="560" w:lineRule="exact"/>
        <w:ind w:firstLine="640" w:firstLineChars="200"/>
        <w:rPr>
          <w:rFonts w:ascii="Times New Roman" w:eastAsia="仿宋_GB2312" w:cs="Times New Roman"/>
          <w:sz w:val="32"/>
          <w:szCs w:val="32"/>
        </w:rPr>
      </w:pPr>
      <w:r>
        <w:rPr>
          <w:rFonts w:ascii="Times New Roman" w:eastAsia="仿宋_GB2312" w:cs="Times New Roman"/>
          <w:sz w:val="32"/>
          <w:szCs w:val="32"/>
        </w:rPr>
        <w:t xml:space="preserve">4.其他收入：指单位取得的除上述收入以外的各项收入。 </w:t>
      </w:r>
    </w:p>
    <w:p>
      <w:pPr>
        <w:pStyle w:val="31"/>
        <w:spacing w:line="560" w:lineRule="exact"/>
        <w:ind w:firstLine="640" w:firstLineChars="200"/>
        <w:rPr>
          <w:rFonts w:ascii="Times New Roman" w:eastAsia="仿宋_GB2312" w:cs="Times New Roman"/>
          <w:sz w:val="32"/>
          <w:szCs w:val="32"/>
        </w:rPr>
      </w:pPr>
      <w:r>
        <w:rPr>
          <w:rFonts w:ascii="Times New Roman" w:eastAsia="仿宋_GB2312" w:cs="Times New Roman"/>
          <w:sz w:val="32"/>
          <w:szCs w:val="32"/>
        </w:rPr>
        <w:t xml:space="preserve">5.使用非财政拨款结余：指事业单位使用以前年度积累的非财政拨款结余弥补当年收支差额的金额。 </w:t>
      </w:r>
    </w:p>
    <w:p>
      <w:pPr>
        <w:pStyle w:val="31"/>
        <w:spacing w:line="560" w:lineRule="exact"/>
        <w:ind w:firstLine="640" w:firstLineChars="200"/>
        <w:rPr>
          <w:rFonts w:ascii="Times New Roman" w:eastAsia="仿宋_GB2312" w:cs="Times New Roman"/>
          <w:sz w:val="32"/>
          <w:szCs w:val="32"/>
        </w:rPr>
      </w:pPr>
      <w:r>
        <w:rPr>
          <w:rFonts w:ascii="Times New Roman" w:eastAsia="仿宋_GB2312" w:cs="Times New Roman"/>
          <w:sz w:val="32"/>
          <w:szCs w:val="32"/>
        </w:rPr>
        <w:t xml:space="preserve">6.年初结转和结余：指以前年度尚未完成、结转到本年按有关规定继续使用的资金。 </w:t>
      </w:r>
    </w:p>
    <w:p>
      <w:pPr>
        <w:pStyle w:val="31"/>
        <w:spacing w:line="560" w:lineRule="exact"/>
        <w:ind w:firstLine="640" w:firstLineChars="200"/>
        <w:rPr>
          <w:rFonts w:ascii="Times New Roman" w:eastAsia="仿宋_GB2312" w:cs="Times New Roman"/>
          <w:sz w:val="32"/>
          <w:szCs w:val="32"/>
        </w:rPr>
      </w:pPr>
      <w:r>
        <w:rPr>
          <w:rFonts w:ascii="Times New Roman" w:eastAsia="仿宋_GB2312" w:cs="Times New Roman"/>
          <w:sz w:val="32"/>
          <w:szCs w:val="32"/>
        </w:rPr>
        <w:t>7.结余分配：指事业单位按照会计制度规定缴纳的所得税、提取的专用结余以及转入非财政拨款结余的金额等。</w:t>
      </w:r>
    </w:p>
    <w:p>
      <w:pPr>
        <w:pStyle w:val="31"/>
        <w:spacing w:line="560" w:lineRule="exact"/>
        <w:ind w:firstLine="640" w:firstLineChars="200"/>
        <w:rPr>
          <w:rFonts w:ascii="Times New Roman" w:eastAsia="仿宋_GB2312" w:cs="Times New Roman"/>
          <w:sz w:val="32"/>
          <w:szCs w:val="32"/>
        </w:rPr>
      </w:pPr>
      <w:r>
        <w:rPr>
          <w:rFonts w:ascii="Times New Roman" w:eastAsia="仿宋_GB2312" w:cs="Times New Roman"/>
          <w:sz w:val="32"/>
          <w:szCs w:val="32"/>
        </w:rPr>
        <w:t>8、年末结转和结余：指单位按有关规定结转到下年或以后年度继续使用的资金。</w:t>
      </w:r>
    </w:p>
    <w:p>
      <w:pPr>
        <w:ind w:firstLine="640" w:firstLineChars="200"/>
        <w:rPr>
          <w:rFonts w:eastAsia="仿宋_GB2312"/>
          <w:color w:val="000000"/>
          <w:sz w:val="32"/>
          <w:szCs w:val="32"/>
        </w:rPr>
      </w:pPr>
      <w:r>
        <w:rPr>
          <w:rFonts w:eastAsia="仿宋_GB2312"/>
          <w:color w:val="000000"/>
          <w:sz w:val="32"/>
          <w:szCs w:val="32"/>
        </w:rPr>
        <w:t>9.</w:t>
      </w:r>
      <w:r>
        <w:rPr>
          <w:rStyle w:val="17"/>
          <w:rFonts w:eastAsia="仿宋_GB2312"/>
          <w:b w:val="0"/>
          <w:color w:val="000000"/>
          <w:sz w:val="32"/>
          <w:szCs w:val="32"/>
        </w:rPr>
        <w:t>一般公共服务（类）组织事务（款）其他组织事务支出（项）</w:t>
      </w:r>
      <w:r>
        <w:rPr>
          <w:rFonts w:eastAsia="仿宋_GB2312"/>
          <w:color w:val="000000"/>
          <w:sz w:val="32"/>
          <w:szCs w:val="32"/>
        </w:rPr>
        <w:t>：指其他用于中国共产党组织部门的事务支出。</w:t>
      </w:r>
    </w:p>
    <w:p>
      <w:pPr>
        <w:rPr>
          <w:rFonts w:eastAsia="仿宋_GB2312"/>
          <w:color w:val="000000"/>
          <w:sz w:val="32"/>
          <w:szCs w:val="32"/>
        </w:rPr>
      </w:pPr>
      <w:r>
        <w:rPr>
          <w:rFonts w:hint="eastAsia" w:eastAsia="仿宋_GB2312"/>
          <w:color w:val="000000"/>
          <w:sz w:val="32"/>
          <w:szCs w:val="32"/>
        </w:rPr>
        <w:t>　　</w:t>
      </w:r>
      <w:r>
        <w:rPr>
          <w:rFonts w:eastAsia="仿宋_GB2312"/>
          <w:color w:val="000000"/>
          <w:sz w:val="32"/>
          <w:szCs w:val="32"/>
        </w:rPr>
        <w:t>10.</w:t>
      </w:r>
      <w:r>
        <w:rPr>
          <w:rStyle w:val="17"/>
          <w:rFonts w:eastAsia="仿宋_GB2312"/>
          <w:b w:val="0"/>
          <w:color w:val="000000"/>
          <w:sz w:val="32"/>
          <w:szCs w:val="32"/>
        </w:rPr>
        <w:t>社会保障和就业支出（类）人力资源和社会保障管理事务（款）其他人力资源和社会保障管理事务支出（项）</w:t>
      </w:r>
      <w:r>
        <w:rPr>
          <w:rFonts w:eastAsia="仿宋_GB2312"/>
          <w:color w:val="000000"/>
          <w:sz w:val="32"/>
          <w:szCs w:val="32"/>
        </w:rPr>
        <w:t>：指其他用于人力资源和社会保障管理事务方面的支出。</w:t>
      </w:r>
    </w:p>
    <w:p>
      <w:pPr>
        <w:ind w:firstLine="640" w:firstLineChars="200"/>
        <w:rPr>
          <w:rFonts w:eastAsia="仿宋_GB2312"/>
          <w:color w:val="000000"/>
          <w:sz w:val="32"/>
          <w:szCs w:val="32"/>
        </w:rPr>
      </w:pPr>
      <w:r>
        <w:rPr>
          <w:rFonts w:eastAsia="仿宋_GB2312"/>
          <w:color w:val="000000"/>
          <w:sz w:val="32"/>
          <w:szCs w:val="32"/>
        </w:rPr>
        <w:t>11.</w:t>
      </w:r>
      <w:r>
        <w:rPr>
          <w:rStyle w:val="17"/>
          <w:rFonts w:eastAsia="仿宋_GB2312"/>
          <w:b w:val="0"/>
          <w:color w:val="000000"/>
          <w:sz w:val="32"/>
          <w:szCs w:val="32"/>
        </w:rPr>
        <w:t>社会保障和就业支出（类）行政事业单位离退休（款）未归口管理的行政单位离退休（项）</w:t>
      </w:r>
      <w:r>
        <w:rPr>
          <w:rFonts w:eastAsia="仿宋_GB2312"/>
          <w:color w:val="000000"/>
          <w:sz w:val="32"/>
          <w:szCs w:val="32"/>
        </w:rPr>
        <w:t>：指未实行归口管理的行政单位（包括实行公务员管理的事业单位）开支的离退休支出。</w:t>
      </w:r>
    </w:p>
    <w:p>
      <w:pPr>
        <w:ind w:firstLine="640" w:firstLineChars="200"/>
        <w:rPr>
          <w:rFonts w:eastAsia="仿宋_GB2312"/>
          <w:color w:val="000000"/>
          <w:sz w:val="32"/>
          <w:szCs w:val="32"/>
        </w:rPr>
      </w:pPr>
      <w:r>
        <w:rPr>
          <w:rFonts w:eastAsia="仿宋_GB2312"/>
          <w:color w:val="000000"/>
          <w:sz w:val="32"/>
          <w:szCs w:val="32"/>
        </w:rPr>
        <w:t>12.</w:t>
      </w:r>
      <w:r>
        <w:rPr>
          <w:rStyle w:val="17"/>
          <w:rFonts w:eastAsia="仿宋_GB2312"/>
          <w:b w:val="0"/>
          <w:color w:val="000000"/>
          <w:sz w:val="32"/>
          <w:szCs w:val="32"/>
        </w:rPr>
        <w:t>社会保障和就业支出（类）行政事业单位离退休（款）机关事业单位基本养老保险缴费支出（项）：</w:t>
      </w:r>
      <w:r>
        <w:rPr>
          <w:rFonts w:eastAsia="仿宋_GB2312"/>
          <w:color w:val="000000"/>
          <w:sz w:val="32"/>
          <w:szCs w:val="32"/>
        </w:rPr>
        <w:t>指机关事业单位实施养老保险制度由单位缴纳的基本养老保险费支出。</w:t>
      </w:r>
    </w:p>
    <w:p>
      <w:pPr>
        <w:ind w:firstLine="640" w:firstLineChars="200"/>
        <w:rPr>
          <w:rFonts w:eastAsia="仿宋_GB2312"/>
          <w:color w:val="000000"/>
          <w:sz w:val="32"/>
          <w:szCs w:val="32"/>
        </w:rPr>
      </w:pPr>
      <w:r>
        <w:rPr>
          <w:rFonts w:eastAsia="仿宋_GB2312"/>
          <w:color w:val="000000"/>
          <w:sz w:val="32"/>
          <w:szCs w:val="32"/>
        </w:rPr>
        <w:t>1</w:t>
      </w:r>
      <w:r>
        <w:rPr>
          <w:rFonts w:hint="eastAsia" w:eastAsia="仿宋_GB2312"/>
          <w:color w:val="000000"/>
          <w:sz w:val="32"/>
          <w:szCs w:val="32"/>
        </w:rPr>
        <w:t>3</w:t>
      </w:r>
      <w:r>
        <w:rPr>
          <w:rFonts w:eastAsia="仿宋_GB2312"/>
          <w:color w:val="000000"/>
          <w:sz w:val="32"/>
          <w:szCs w:val="32"/>
        </w:rPr>
        <w:t>.</w:t>
      </w:r>
      <w:r>
        <w:rPr>
          <w:rStyle w:val="17"/>
          <w:rFonts w:eastAsia="仿宋_GB2312"/>
          <w:b w:val="0"/>
          <w:color w:val="000000"/>
          <w:sz w:val="32"/>
          <w:szCs w:val="32"/>
        </w:rPr>
        <w:t>城乡社区支出（类）国有土地使用权出让收入及对应专项债务收入安排的支出（款）土地开发（项）</w:t>
      </w:r>
      <w:r>
        <w:rPr>
          <w:rFonts w:eastAsia="仿宋_GB2312"/>
          <w:color w:val="000000"/>
          <w:sz w:val="32"/>
          <w:szCs w:val="32"/>
        </w:rPr>
        <w:t>：指地方政府用于前期土地开发性支出以及现前期土地开发相关的费用等支出。</w:t>
      </w:r>
    </w:p>
    <w:p>
      <w:pPr>
        <w:ind w:firstLine="640" w:firstLineChars="200"/>
        <w:rPr>
          <w:rFonts w:eastAsia="仿宋_GB2312"/>
          <w:color w:val="000000"/>
          <w:sz w:val="32"/>
          <w:szCs w:val="32"/>
        </w:rPr>
      </w:pPr>
      <w:r>
        <w:rPr>
          <w:rFonts w:eastAsia="仿宋_GB2312"/>
          <w:color w:val="000000"/>
          <w:sz w:val="32"/>
          <w:szCs w:val="32"/>
        </w:rPr>
        <w:t>1</w:t>
      </w:r>
      <w:r>
        <w:rPr>
          <w:rFonts w:hint="eastAsia" w:eastAsia="仿宋_GB2312"/>
          <w:color w:val="000000"/>
          <w:sz w:val="32"/>
          <w:szCs w:val="32"/>
        </w:rPr>
        <w:t>4</w:t>
      </w:r>
      <w:r>
        <w:rPr>
          <w:rFonts w:eastAsia="仿宋_GB2312"/>
          <w:color w:val="000000"/>
          <w:sz w:val="32"/>
          <w:szCs w:val="32"/>
        </w:rPr>
        <w:t>.</w:t>
      </w:r>
      <w:r>
        <w:rPr>
          <w:rStyle w:val="17"/>
          <w:rFonts w:eastAsia="仿宋_GB2312"/>
          <w:b w:val="0"/>
          <w:color w:val="000000"/>
          <w:sz w:val="32"/>
          <w:szCs w:val="32"/>
        </w:rPr>
        <w:t>农林水支出（类）水利（款）水利工程运行与维护（项）</w:t>
      </w:r>
      <w:r>
        <w:rPr>
          <w:rFonts w:eastAsia="仿宋_GB2312"/>
          <w:color w:val="000000"/>
          <w:sz w:val="32"/>
          <w:szCs w:val="32"/>
        </w:rPr>
        <w:t>：指水利系统用于江、河、湖、滩等治理工程运行与维护方面的支出，以及纳入预算管理的水利工程管理单位的支出。</w:t>
      </w:r>
    </w:p>
    <w:p>
      <w:pPr>
        <w:ind w:firstLine="640" w:firstLineChars="200"/>
        <w:rPr>
          <w:rFonts w:eastAsia="仿宋_GB2312"/>
          <w:color w:val="000000"/>
          <w:sz w:val="32"/>
          <w:szCs w:val="32"/>
        </w:rPr>
      </w:pPr>
      <w:r>
        <w:rPr>
          <w:rFonts w:hint="eastAsia" w:eastAsia="仿宋_GB2312"/>
          <w:color w:val="000000"/>
          <w:sz w:val="32"/>
          <w:szCs w:val="32"/>
        </w:rPr>
        <w:t>15</w:t>
      </w:r>
      <w:r>
        <w:rPr>
          <w:rFonts w:eastAsia="仿宋_GB2312"/>
          <w:color w:val="000000"/>
          <w:sz w:val="32"/>
          <w:szCs w:val="32"/>
        </w:rPr>
        <w:t>.</w:t>
      </w:r>
      <w:r>
        <w:rPr>
          <w:rStyle w:val="17"/>
          <w:rFonts w:eastAsia="仿宋_GB2312"/>
          <w:b w:val="0"/>
          <w:color w:val="000000"/>
          <w:sz w:val="32"/>
          <w:szCs w:val="32"/>
        </w:rPr>
        <w:t>农林水支出（类）水利（款）防汛（项）</w:t>
      </w:r>
      <w:r>
        <w:rPr>
          <w:rFonts w:eastAsia="仿宋_GB2312"/>
          <w:color w:val="000000"/>
          <w:sz w:val="32"/>
          <w:szCs w:val="32"/>
        </w:rPr>
        <w:t>：</w:t>
      </w:r>
      <w:r>
        <w:rPr>
          <w:rFonts w:hAnsi="仿宋_GB2312" w:eastAsia="仿宋_GB2312"/>
          <w:color w:val="000000"/>
          <w:sz w:val="32"/>
          <w:szCs w:val="32"/>
        </w:rPr>
        <w:t>指</w:t>
      </w:r>
      <w:r>
        <w:rPr>
          <w:rFonts w:hAnsi="仿宋_GB2312" w:eastAsia="仿宋_GB2312"/>
          <w:color w:val="000000"/>
          <w:sz w:val="32"/>
          <w:szCs w:val="32"/>
          <w:shd w:val="clear" w:color="auto" w:fill="FFFFFF"/>
        </w:rPr>
        <w:t>反映防汛业务支出。有关事项包括防汛物资购置管护，防汛通信设施设备、网络系统、车船设备运行维护，防汛值班、水情报汛、防汛指挥系统运行维护、水毁修复以及防汛组织（如防汛预案编制、检查、演习、宣传、会议等），汛期调用民工及劳动保护，水利设施灾后重建，退田还湖，蓄滞洪区补偿，水情、雨情、决策支持，防汛视频会商，山洪灾害防治等</w:t>
      </w:r>
      <w:r>
        <w:rPr>
          <w:rFonts w:hAnsi="仿宋_GB2312" w:eastAsia="仿宋_GB2312"/>
          <w:color w:val="000000"/>
          <w:sz w:val="32"/>
          <w:szCs w:val="32"/>
        </w:rPr>
        <w:t>。</w:t>
      </w:r>
    </w:p>
    <w:p>
      <w:pPr>
        <w:ind w:firstLine="640" w:firstLineChars="200"/>
        <w:rPr>
          <w:rFonts w:eastAsia="仿宋_GB2312"/>
          <w:color w:val="000000"/>
          <w:sz w:val="32"/>
          <w:szCs w:val="32"/>
        </w:rPr>
      </w:pPr>
      <w:r>
        <w:rPr>
          <w:rFonts w:hint="eastAsia" w:eastAsia="仿宋_GB2312"/>
          <w:color w:val="000000"/>
          <w:sz w:val="32"/>
          <w:szCs w:val="32"/>
        </w:rPr>
        <w:t>16</w:t>
      </w:r>
      <w:r>
        <w:rPr>
          <w:rFonts w:eastAsia="仿宋_GB2312"/>
          <w:color w:val="000000"/>
          <w:sz w:val="32"/>
          <w:szCs w:val="32"/>
        </w:rPr>
        <w:t>.</w:t>
      </w:r>
      <w:r>
        <w:rPr>
          <w:rStyle w:val="17"/>
          <w:rFonts w:eastAsia="仿宋_GB2312"/>
          <w:b w:val="0"/>
          <w:color w:val="000000"/>
          <w:sz w:val="32"/>
          <w:szCs w:val="32"/>
        </w:rPr>
        <w:t>农林水支出（类）水利（款）抗旱（项）</w:t>
      </w:r>
      <w:r>
        <w:rPr>
          <w:rFonts w:eastAsia="仿宋_GB2312"/>
          <w:color w:val="000000"/>
          <w:sz w:val="32"/>
          <w:szCs w:val="32"/>
        </w:rPr>
        <w:t>：</w:t>
      </w:r>
      <w:r>
        <w:rPr>
          <w:rFonts w:hAnsi="仿宋_GB2312" w:eastAsia="仿宋_GB2312"/>
          <w:color w:val="000000"/>
          <w:sz w:val="32"/>
          <w:szCs w:val="32"/>
          <w:shd w:val="clear" w:color="auto" w:fill="FFFFFF"/>
        </w:rPr>
        <w:t>反映抗旱业务支出。有关事项包括旱情监测及报旱，抗旱预案编制修订，抗旱物资购置管护，抗旱设施设备运行维护，抗旱应急水源建设以及对各级抗旱服务组织的补助等。</w:t>
      </w:r>
    </w:p>
    <w:p>
      <w:pPr>
        <w:ind w:firstLine="640" w:firstLineChars="200"/>
        <w:rPr>
          <w:rFonts w:eastAsia="仿宋_GB2312"/>
          <w:color w:val="000000"/>
          <w:sz w:val="32"/>
          <w:szCs w:val="32"/>
        </w:rPr>
      </w:pPr>
      <w:r>
        <w:rPr>
          <w:rFonts w:hint="eastAsia" w:eastAsia="仿宋_GB2312"/>
          <w:color w:val="000000"/>
          <w:sz w:val="32"/>
          <w:szCs w:val="32"/>
        </w:rPr>
        <w:t>17</w:t>
      </w:r>
      <w:r>
        <w:rPr>
          <w:rFonts w:eastAsia="仿宋_GB2312"/>
          <w:color w:val="000000"/>
          <w:sz w:val="32"/>
          <w:szCs w:val="32"/>
        </w:rPr>
        <w:t>.</w:t>
      </w:r>
      <w:r>
        <w:rPr>
          <w:rStyle w:val="17"/>
          <w:rFonts w:eastAsia="仿宋_GB2312"/>
          <w:b w:val="0"/>
          <w:color w:val="000000"/>
          <w:sz w:val="32"/>
          <w:szCs w:val="32"/>
        </w:rPr>
        <w:t>农林水支出（类）水利（款）其他水利支出（项）</w:t>
      </w:r>
      <w:r>
        <w:rPr>
          <w:rFonts w:eastAsia="仿宋_GB2312"/>
          <w:color w:val="000000"/>
          <w:sz w:val="32"/>
          <w:szCs w:val="32"/>
        </w:rPr>
        <w:t>：</w:t>
      </w:r>
      <w:r>
        <w:rPr>
          <w:rFonts w:hAnsi="仿宋_GB2312" w:eastAsia="仿宋_GB2312"/>
          <w:color w:val="000000"/>
          <w:sz w:val="32"/>
          <w:szCs w:val="32"/>
        </w:rPr>
        <w:t>指</w:t>
      </w:r>
      <w:r>
        <w:rPr>
          <w:rFonts w:hAnsi="仿宋_GB2312" w:eastAsia="仿宋_GB2312"/>
          <w:color w:val="000000"/>
          <w:sz w:val="32"/>
          <w:szCs w:val="32"/>
          <w:shd w:val="clear" w:color="auto" w:fill="FFFFFF"/>
        </w:rPr>
        <w:t>反映其他用于水利方面的支出</w:t>
      </w:r>
      <w:r>
        <w:rPr>
          <w:rFonts w:hAnsi="仿宋_GB2312" w:eastAsia="仿宋_GB2312"/>
          <w:color w:val="000000"/>
          <w:sz w:val="32"/>
          <w:szCs w:val="32"/>
        </w:rPr>
        <w:t>。</w:t>
      </w:r>
    </w:p>
    <w:p>
      <w:pPr>
        <w:ind w:firstLine="640" w:firstLineChars="200"/>
        <w:rPr>
          <w:rFonts w:eastAsia="仿宋_GB2312"/>
          <w:color w:val="000000"/>
          <w:sz w:val="32"/>
          <w:szCs w:val="32"/>
        </w:rPr>
      </w:pPr>
      <w:r>
        <w:rPr>
          <w:rFonts w:hint="eastAsia" w:eastAsia="仿宋_GB2312"/>
          <w:color w:val="000000"/>
          <w:sz w:val="32"/>
          <w:szCs w:val="32"/>
        </w:rPr>
        <w:t>18</w:t>
      </w:r>
      <w:r>
        <w:rPr>
          <w:rFonts w:eastAsia="仿宋_GB2312"/>
          <w:color w:val="000000"/>
          <w:sz w:val="32"/>
          <w:szCs w:val="32"/>
        </w:rPr>
        <w:t>.</w:t>
      </w:r>
      <w:r>
        <w:rPr>
          <w:rStyle w:val="17"/>
          <w:rFonts w:eastAsia="仿宋_GB2312"/>
          <w:b w:val="0"/>
          <w:color w:val="000000"/>
          <w:sz w:val="32"/>
          <w:szCs w:val="32"/>
        </w:rPr>
        <w:t>住房保障支出（类）住房改革支出（款）住房公积金（项）</w:t>
      </w:r>
      <w:r>
        <w:rPr>
          <w:rFonts w:eastAsia="仿宋_GB2312"/>
          <w:color w:val="000000"/>
          <w:sz w:val="32"/>
          <w:szCs w:val="32"/>
        </w:rPr>
        <w:t>：指反映行政事业单位按人事、财政部门规定的基本工资和津贴补贴以及规定比例为职工缴纳的住房公积金。</w:t>
      </w:r>
    </w:p>
    <w:p>
      <w:pPr>
        <w:ind w:firstLine="640" w:firstLineChars="200"/>
        <w:rPr>
          <w:rFonts w:eastAsia="仿宋_GB2312"/>
          <w:color w:val="000000"/>
          <w:sz w:val="32"/>
          <w:szCs w:val="32"/>
        </w:rPr>
      </w:pPr>
      <w:r>
        <w:rPr>
          <w:rFonts w:hint="eastAsia" w:eastAsia="仿宋_GB2312"/>
          <w:color w:val="000000"/>
          <w:sz w:val="32"/>
          <w:szCs w:val="32"/>
        </w:rPr>
        <w:t>19</w:t>
      </w:r>
      <w:r>
        <w:rPr>
          <w:rFonts w:eastAsia="仿宋_GB2312"/>
          <w:color w:val="000000"/>
          <w:sz w:val="32"/>
          <w:szCs w:val="32"/>
        </w:rPr>
        <w:t>.基本支出：指为保障机构正常运转、完成日常工作任务而发生的人员支出和公用支出。</w:t>
      </w:r>
    </w:p>
    <w:p>
      <w:pPr>
        <w:ind w:firstLine="640" w:firstLineChars="200"/>
        <w:rPr>
          <w:rFonts w:eastAsia="仿宋_GB2312"/>
          <w:color w:val="000000"/>
          <w:sz w:val="32"/>
          <w:szCs w:val="32"/>
        </w:rPr>
      </w:pPr>
      <w:r>
        <w:rPr>
          <w:rFonts w:hint="eastAsia" w:eastAsia="仿宋_GB2312"/>
          <w:color w:val="000000"/>
          <w:sz w:val="32"/>
          <w:szCs w:val="32"/>
        </w:rPr>
        <w:t>20</w:t>
      </w:r>
      <w:r>
        <w:rPr>
          <w:rFonts w:eastAsia="仿宋_GB2312"/>
          <w:color w:val="000000"/>
          <w:sz w:val="32"/>
          <w:szCs w:val="32"/>
        </w:rPr>
        <w:t xml:space="preserve">.项目支出：指在基本支出之外为完成特定行政任务和事业发展目标所发生的支出。 </w:t>
      </w:r>
    </w:p>
    <w:p>
      <w:pPr>
        <w:ind w:firstLine="640" w:firstLineChars="200"/>
        <w:rPr>
          <w:rFonts w:eastAsia="仿宋_GB2312"/>
          <w:color w:val="000000"/>
          <w:sz w:val="32"/>
          <w:szCs w:val="32"/>
        </w:rPr>
      </w:pPr>
      <w:r>
        <w:rPr>
          <w:rFonts w:hint="eastAsia" w:eastAsia="仿宋_GB2312"/>
          <w:color w:val="000000"/>
          <w:sz w:val="32"/>
          <w:szCs w:val="32"/>
        </w:rPr>
        <w:t>21</w:t>
      </w:r>
      <w:r>
        <w:rPr>
          <w:rFonts w:eastAsia="仿宋_GB2312"/>
          <w:color w:val="000000"/>
          <w:sz w:val="32"/>
          <w:szCs w:val="32"/>
        </w:rPr>
        <w:t>.经营支出：指事业单位在专业业务活动及其辅助活动之外开展非独立核算经营活动发生的支出。</w:t>
      </w:r>
    </w:p>
    <w:p>
      <w:pPr>
        <w:pStyle w:val="31"/>
        <w:spacing w:line="560" w:lineRule="exact"/>
        <w:ind w:firstLine="640" w:firstLineChars="200"/>
        <w:rPr>
          <w:rFonts w:ascii="Times New Roman" w:eastAsia="仿宋_GB2312" w:cs="Times New Roman"/>
          <w:sz w:val="32"/>
          <w:szCs w:val="32"/>
        </w:rPr>
      </w:pPr>
      <w:r>
        <w:rPr>
          <w:rFonts w:hint="eastAsia" w:ascii="Times New Roman" w:eastAsia="仿宋_GB2312" w:cs="Times New Roman"/>
          <w:sz w:val="32"/>
          <w:szCs w:val="32"/>
        </w:rPr>
        <w:t>22</w:t>
      </w:r>
      <w:r>
        <w:rPr>
          <w:rFonts w:ascii="Times New Roman" w:eastAsia="仿宋_GB2312" w:cs="Times New Roman"/>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spacing w:line="600" w:lineRule="exact"/>
        <w:jc w:val="center"/>
        <w:outlineLvl w:val="0"/>
        <w:rPr>
          <w:rStyle w:val="26"/>
          <w:rFonts w:ascii="黑体" w:hAnsi="黑体" w:eastAsia="黑体"/>
          <w:b w:val="0"/>
        </w:rPr>
      </w:pPr>
      <w:r>
        <w:rPr>
          <w:rFonts w:ascii="宋体"/>
          <w:b/>
          <w:color w:val="000000"/>
          <w:sz w:val="44"/>
          <w:szCs w:val="44"/>
        </w:rPr>
        <w:br w:type="page"/>
      </w:r>
      <w:bookmarkStart w:id="164" w:name="_Toc11357"/>
      <w:bookmarkStart w:id="165" w:name="_Toc21057"/>
      <w:bookmarkStart w:id="166" w:name="_Toc15396614"/>
      <w:bookmarkStart w:id="167" w:name="_Toc16735"/>
      <w:bookmarkStart w:id="168" w:name="_Toc19403"/>
      <w:r>
        <w:rPr>
          <w:rFonts w:hint="eastAsia" w:ascii="黑体" w:hAnsi="黑体" w:eastAsia="黑体"/>
          <w:color w:val="000000"/>
          <w:sz w:val="44"/>
          <w:szCs w:val="44"/>
        </w:rPr>
        <w:t>第</w:t>
      </w:r>
      <w:r>
        <w:rPr>
          <w:rStyle w:val="26"/>
          <w:rFonts w:hint="eastAsia" w:ascii="黑体" w:hAnsi="黑体" w:eastAsia="黑体"/>
          <w:b w:val="0"/>
        </w:rPr>
        <w:t>四部分</w:t>
      </w:r>
      <w:r>
        <w:rPr>
          <w:rStyle w:val="26"/>
          <w:rFonts w:ascii="黑体" w:hAnsi="黑体" w:eastAsia="黑体"/>
          <w:b w:val="0"/>
        </w:rPr>
        <w:t xml:space="preserve"> </w:t>
      </w:r>
      <w:r>
        <w:rPr>
          <w:rStyle w:val="26"/>
          <w:rFonts w:hint="eastAsia" w:ascii="黑体" w:hAnsi="黑体" w:eastAsia="黑体"/>
          <w:b w:val="0"/>
        </w:rPr>
        <w:t>附件</w:t>
      </w:r>
      <w:bookmarkEnd w:id="164"/>
      <w:bookmarkEnd w:id="165"/>
      <w:bookmarkEnd w:id="166"/>
      <w:bookmarkEnd w:id="167"/>
      <w:bookmarkEnd w:id="168"/>
    </w:p>
    <w:p>
      <w:pPr>
        <w:spacing w:line="600" w:lineRule="exact"/>
        <w:jc w:val="left"/>
        <w:outlineLvl w:val="1"/>
        <w:rPr>
          <w:rFonts w:ascii="方正小标宋简体" w:hAnsi="方正小标宋简体" w:eastAsia="方正小标宋简体" w:cs="方正小标宋简体"/>
          <w:sz w:val="32"/>
          <w:szCs w:val="32"/>
        </w:rPr>
      </w:pPr>
      <w:bookmarkStart w:id="169" w:name="_Toc17527"/>
      <w:bookmarkStart w:id="170" w:name="_Toc31323"/>
      <w:bookmarkStart w:id="171" w:name="_Toc29019"/>
      <w:bookmarkStart w:id="172" w:name="_Toc30346"/>
      <w:r>
        <w:rPr>
          <w:rFonts w:hint="eastAsia" w:ascii="黑体" w:hAnsi="黑体" w:eastAsia="黑体" w:cs="黑体"/>
          <w:sz w:val="32"/>
          <w:szCs w:val="32"/>
        </w:rPr>
        <w:t>附件</w:t>
      </w:r>
      <w:r>
        <w:rPr>
          <w:rFonts w:ascii="黑体" w:hAnsi="黑体" w:eastAsia="黑体" w:cs="黑体"/>
          <w:sz w:val="32"/>
          <w:szCs w:val="32"/>
        </w:rPr>
        <w:t>1</w:t>
      </w:r>
      <w:bookmarkEnd w:id="169"/>
      <w:bookmarkEnd w:id="170"/>
      <w:bookmarkEnd w:id="171"/>
      <w:bookmarkEnd w:id="172"/>
    </w:p>
    <w:p>
      <w:pPr>
        <w:spacing w:line="580" w:lineRule="exact"/>
        <w:jc w:val="center"/>
        <w:rPr>
          <w:rFonts w:ascii="方正小标宋简体" w:hAnsi="方正小标宋简体" w:eastAsia="方正小标宋简体" w:cs="方正小标宋简体"/>
          <w:sz w:val="44"/>
          <w:szCs w:val="44"/>
        </w:rPr>
      </w:pPr>
    </w:p>
    <w:p>
      <w:pPr>
        <w:pStyle w:val="9"/>
        <w:spacing w:line="600" w:lineRule="exact"/>
        <w:ind w:firstLine="800" w:firstLineChars="200"/>
        <w:jc w:val="center"/>
        <w:rPr>
          <w:rFonts w:ascii="仿宋_GB2312" w:hAnsi="仿宋_GB2312" w:eastAsia="仿宋_GB2312" w:cs="仿宋_GB2312"/>
          <w:sz w:val="32"/>
          <w:szCs w:val="32"/>
        </w:rPr>
      </w:pPr>
      <w:r>
        <w:rPr>
          <w:rFonts w:hint="eastAsia" w:ascii="方正小标宋简体" w:hAnsi="宋体" w:eastAsia="方正小标宋简体"/>
          <w:color w:val="000000"/>
          <w:kern w:val="0"/>
          <w:sz w:val="40"/>
          <w:szCs w:val="44"/>
        </w:rPr>
        <w:t>攀枝花市胜利水利工程运行中心</w:t>
      </w:r>
      <w:r>
        <w:rPr>
          <w:rFonts w:ascii="方正小标宋简体" w:hAnsi="宋体" w:eastAsia="方正小标宋简体"/>
          <w:color w:val="000000"/>
          <w:kern w:val="0"/>
          <w:sz w:val="40"/>
          <w:szCs w:val="44"/>
        </w:rPr>
        <w:t>2020</w:t>
      </w:r>
      <w:r>
        <w:rPr>
          <w:rFonts w:hint="eastAsia" w:ascii="方正小标宋简体" w:hAnsi="宋体" w:eastAsia="方正小标宋简体"/>
          <w:color w:val="000000"/>
          <w:kern w:val="0"/>
          <w:sz w:val="40"/>
          <w:szCs w:val="44"/>
        </w:rPr>
        <w:t>年部门</w:t>
      </w:r>
      <w:r>
        <w:rPr>
          <w:rFonts w:hint="eastAsia" w:ascii="方正小标宋简体" w:hAnsi="宋体" w:eastAsia="方正小标宋简体"/>
          <w:color w:val="000000"/>
          <w:kern w:val="0"/>
          <w:sz w:val="40"/>
          <w:szCs w:val="44"/>
          <w:lang w:val="zh-CN"/>
        </w:rPr>
        <w:t>整体支出绩效评价报告</w:t>
      </w:r>
      <w:r>
        <w:rPr>
          <w:rFonts w:hint="eastAsia" w:ascii="仿宋_GB2312" w:hAnsi="仿宋_GB2312" w:eastAsia="仿宋_GB2312" w:cs="仿宋_GB2312"/>
          <w:sz w:val="32"/>
          <w:szCs w:val="32"/>
        </w:rPr>
        <w:t xml:space="preserve"> </w:t>
      </w:r>
    </w:p>
    <w:p>
      <w:pPr>
        <w:pStyle w:val="9"/>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一、部门概况</w:t>
      </w:r>
    </w:p>
    <w:p>
      <w:pPr>
        <w:pStyle w:val="9"/>
        <w:spacing w:line="600" w:lineRule="exact"/>
        <w:ind w:firstLine="640" w:firstLineChars="200"/>
        <w:jc w:val="left"/>
        <w:rPr>
          <w:rFonts w:hint="eastAsia" w:ascii="楷体_GB2312" w:hAnsi="仿宋" w:eastAsia="楷体_GB2312"/>
          <w:b/>
          <w:sz w:val="32"/>
          <w:szCs w:val="32"/>
        </w:rPr>
      </w:pPr>
      <w:r>
        <w:rPr>
          <w:rFonts w:hint="eastAsia" w:ascii="仿宋_GB2312" w:hAnsi="仿宋" w:eastAsia="仿宋_GB2312"/>
          <w:sz w:val="32"/>
          <w:szCs w:val="32"/>
        </w:rPr>
        <w:t>攀枝花市胜利水库管理所成立于</w:t>
      </w:r>
      <w:r>
        <w:rPr>
          <w:rFonts w:hint="eastAsia" w:ascii="仿宋_GB2312" w:eastAsia="仿宋_GB2312"/>
          <w:sz w:val="32"/>
          <w:szCs w:val="32"/>
        </w:rPr>
        <w:t>1992年，2007年水管体制改革经费形式调整为全额拨款事业单位。</w:t>
      </w:r>
      <w:r>
        <w:rPr>
          <w:rFonts w:hint="eastAsia" w:ascii="仿宋_GB2312" w:hAnsi="仿宋" w:eastAsia="仿宋_GB2312"/>
          <w:sz w:val="32"/>
          <w:szCs w:val="32"/>
        </w:rPr>
        <w:t>根据攀编发[2019]87号文件，2019年7月攀枝花市胜利水库管理所更名为攀枝花市胜利水利工程运行中心，为市水利局下属公益二类事业单位。</w:t>
      </w:r>
      <w:r>
        <w:rPr>
          <w:rFonts w:hint="eastAsia" w:ascii="仿宋_GB2312" w:eastAsia="仿宋_GB2312"/>
          <w:sz w:val="32"/>
          <w:szCs w:val="32"/>
        </w:rPr>
        <w:t>中心主要职能是</w:t>
      </w:r>
      <w:r>
        <w:rPr>
          <w:rFonts w:hint="eastAsia" w:ascii="仿宋_GB2312" w:hAnsi="仿宋" w:eastAsia="仿宋_GB2312"/>
          <w:sz w:val="32"/>
          <w:szCs w:val="32"/>
        </w:rPr>
        <w:t>负责胜利水库、沙坝田水库管理范围内的工程及设施设备管理；承担日常维修养护、运行管理、安全监测、供水调度具体工作；编制汛期调度运行计划、大坝安全应急预案、防汛抢险应急预案并按批准的水库调度规程组织实施；承担渠道管理及灌区供水服务;承担权限范围内的水生态保护具体工作。</w:t>
      </w:r>
    </w:p>
    <w:p>
      <w:pPr>
        <w:snapToGrid w:val="0"/>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中心下设4个科室：办公室、胜利管理科、沙坝田管理科、综合计划科。现有在职人员30人、退休人员3人。</w:t>
      </w:r>
    </w:p>
    <w:p>
      <w:pPr>
        <w:snapToGrid w:val="0"/>
        <w:spacing w:line="360" w:lineRule="auto"/>
        <w:ind w:firstLine="640" w:firstLineChars="200"/>
        <w:rPr>
          <w:rFonts w:hint="eastAsia" w:ascii="仿宋_GB2312" w:eastAsia="仿宋_GB2312"/>
          <w:sz w:val="32"/>
          <w:szCs w:val="32"/>
        </w:rPr>
      </w:pPr>
      <w:r>
        <w:rPr>
          <w:rFonts w:hint="eastAsia" w:ascii="仿宋_GB2312" w:eastAsia="仿宋_GB2312"/>
          <w:sz w:val="32"/>
          <w:szCs w:val="32"/>
        </w:rPr>
        <w:t>截止到2020年12月31日止，我所资产总计6083.88万元，其中流动资产172.95万元、固定资产7592.86万元、固定资产累计折旧2306.81万元、固定资产净值5286.05万元、无形资产650.78万元、无形资产累计摊销52.71万元、无形资产净值598.07万元。</w:t>
      </w:r>
    </w:p>
    <w:p>
      <w:pPr>
        <w:pStyle w:val="9"/>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黑体" w:hAnsi="黑体" w:eastAsia="黑体" w:cs="仿宋_GB2312"/>
          <w:sz w:val="32"/>
          <w:szCs w:val="32"/>
        </w:rPr>
        <w:t>二、部门资金基本情况</w:t>
      </w:r>
    </w:p>
    <w:p>
      <w:pPr>
        <w:pStyle w:val="9"/>
        <w:spacing w:line="600" w:lineRule="exact"/>
        <w:ind w:firstLine="640" w:firstLineChars="200"/>
        <w:jc w:val="left"/>
        <w:rPr>
          <w:rFonts w:hint="eastAsia" w:ascii="楷体" w:hAnsi="楷体" w:eastAsia="楷体" w:cs="仿宋_GB2312"/>
          <w:sz w:val="32"/>
          <w:szCs w:val="32"/>
        </w:rPr>
      </w:pPr>
      <w:r>
        <w:rPr>
          <w:rFonts w:hint="eastAsia" w:ascii="楷体" w:hAnsi="楷体" w:eastAsia="楷体" w:cs="仿宋_GB2312"/>
          <w:sz w:val="32"/>
          <w:szCs w:val="32"/>
        </w:rPr>
        <w:t xml:space="preserve">（一）年初部门预算安排及支出情况 </w:t>
      </w:r>
    </w:p>
    <w:p>
      <w:pPr>
        <w:pStyle w:val="9"/>
        <w:spacing w:line="600" w:lineRule="exact"/>
        <w:ind w:firstLine="640" w:firstLineChars="200"/>
        <w:jc w:val="left"/>
        <w:rPr>
          <w:rFonts w:ascii="仿宋_GB2312" w:hAnsi="仿宋_GB2312" w:eastAsia="仿宋_GB2312" w:cs="仿宋_GB2312"/>
          <w:sz w:val="32"/>
          <w:szCs w:val="32"/>
        </w:rPr>
      </w:pPr>
      <w:r>
        <w:rPr>
          <w:rFonts w:hint="eastAsia" w:ascii="仿宋_GB2312" w:eastAsia="仿宋_GB2312"/>
          <w:sz w:val="32"/>
          <w:szCs w:val="32"/>
        </w:rPr>
        <w:t>2020年年初预算安排551.31万元，追加预算401.38万元，年初结余294.14万元。全年支出1168.70万元</w:t>
      </w:r>
    </w:p>
    <w:p>
      <w:pPr>
        <w:pStyle w:val="9"/>
        <w:numPr>
          <w:ilvl w:val="0"/>
          <w:numId w:val="4"/>
        </w:numPr>
        <w:spacing w:line="6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基本支出安排及使用情况</w:t>
      </w:r>
    </w:p>
    <w:p>
      <w:pPr>
        <w:pStyle w:val="9"/>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2020年基本支出年初预算安排403.31万元，人员经费358.53万元、日常公用经费44.78万元。当年因人员增加，追加经费15.48万元。实际使用418.79万元，人员经费使用374.80万元、日常公用经费使用43.99万元。</w:t>
      </w:r>
    </w:p>
    <w:p>
      <w:pPr>
        <w:pStyle w:val="9"/>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eastAsia="仿宋_GB2312"/>
          <w:sz w:val="32"/>
          <w:szCs w:val="32"/>
        </w:rPr>
        <w:t>2、部门预算项目安排及支出情况</w:t>
      </w:r>
    </w:p>
    <w:p>
      <w:pPr>
        <w:pStyle w:val="9"/>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2020年年初部门预算项目安排148.00万元，其中： 一般公共预算项目支出8.00万元 (2130399-其他水利支出-援藏援彝干部人才补助经费8.00万元）；政府性基金支出项目预算安排140.00万元（2120802-土地开发支出-维修养护经费80万元、运行管理费-60万元）。部门预算项目安排的资金已全部使用。</w:t>
      </w:r>
    </w:p>
    <w:p>
      <w:pPr>
        <w:pStyle w:val="9"/>
        <w:spacing w:line="600" w:lineRule="exact"/>
        <w:ind w:firstLine="640" w:firstLineChars="200"/>
        <w:jc w:val="left"/>
        <w:rPr>
          <w:rFonts w:hint="eastAsia" w:ascii="楷体" w:hAnsi="楷体" w:eastAsia="楷体" w:cs="仿宋_GB2312"/>
          <w:sz w:val="32"/>
          <w:szCs w:val="32"/>
        </w:rPr>
      </w:pPr>
      <w:r>
        <w:rPr>
          <w:rFonts w:hint="eastAsia" w:ascii="楷体" w:hAnsi="楷体" w:eastAsia="楷体" w:cs="仿宋_GB2312"/>
          <w:sz w:val="32"/>
          <w:szCs w:val="32"/>
        </w:rPr>
        <w:t>（二）追加预算安排及支出情况</w:t>
      </w:r>
    </w:p>
    <w:p>
      <w:pPr>
        <w:pStyle w:val="9"/>
        <w:spacing w:line="600" w:lineRule="exact"/>
        <w:ind w:firstLine="640" w:firstLineChars="200"/>
        <w:jc w:val="left"/>
        <w:rPr>
          <w:rFonts w:ascii="仿宋_GB2312" w:hAnsi="仿宋_GB2312" w:eastAsia="仿宋_GB2312" w:cs="仿宋_GB2312"/>
          <w:sz w:val="32"/>
          <w:szCs w:val="32"/>
        </w:rPr>
      </w:pPr>
      <w:r>
        <w:rPr>
          <w:rFonts w:hint="eastAsia" w:ascii="仿宋_GB2312" w:eastAsia="仿宋_GB2312"/>
          <w:sz w:val="32"/>
          <w:szCs w:val="32"/>
        </w:rPr>
        <w:t>2020年人员经费追加预算24.57万元，其中： 因公招及调入而增加人员6人追加工资等15.48万元。项目经费追加预算385.90万元 。其中：省级水利救灾资金223.48万元、9.19洪灾水毁恢复工程123.07万元、农业水价综合改革奖补资金2.00万元、胜利水库大坝安全鉴定服务费及地勘费37.35万元。</w:t>
      </w:r>
    </w:p>
    <w:p>
      <w:pPr>
        <w:pStyle w:val="9"/>
        <w:spacing w:line="600" w:lineRule="exact"/>
        <w:ind w:firstLine="640" w:firstLineChars="200"/>
        <w:jc w:val="left"/>
        <w:rPr>
          <w:rFonts w:hint="eastAsia" w:ascii="楷体" w:hAnsi="楷体" w:eastAsia="楷体" w:cs="仿宋_GB2312"/>
          <w:sz w:val="32"/>
          <w:szCs w:val="32"/>
        </w:rPr>
      </w:pPr>
      <w:r>
        <w:rPr>
          <w:rFonts w:hint="eastAsia" w:ascii="楷体" w:hAnsi="楷体" w:eastAsia="楷体" w:cs="仿宋_GB2312"/>
          <w:sz w:val="32"/>
          <w:szCs w:val="32"/>
        </w:rPr>
        <w:t>（三）专项资金安排及支出情况</w:t>
      </w:r>
    </w:p>
    <w:p>
      <w:pPr>
        <w:pStyle w:val="9"/>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1、资金安排情况：</w:t>
      </w:r>
    </w:p>
    <w:p>
      <w:pPr>
        <w:pStyle w:val="9"/>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2020年下达项目资金533.90万元，其中：土地开发支出142.00万元、 其他城乡社区公共设施支出123.07万元、其他水利支出268.83万元。年初项目结余资金294.14万元，其中：土地开发支出：0.44万元、抗旱200.00万元、防汛 39.80万元、其他水利支出53.90万元。</w:t>
      </w:r>
    </w:p>
    <w:p>
      <w:pPr>
        <w:pStyle w:val="9"/>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2、支出情况：</w:t>
      </w:r>
    </w:p>
    <w:p>
      <w:pPr>
        <w:pStyle w:val="9"/>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（1）土地开发支出支付：141.79万元</w:t>
      </w:r>
    </w:p>
    <w:p>
      <w:pPr>
        <w:pStyle w:val="9"/>
        <w:spacing w:line="600" w:lineRule="exact"/>
        <w:ind w:firstLine="800" w:firstLineChars="25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①运行管理费支出80万元：用于</w:t>
      </w:r>
      <w:r>
        <w:rPr>
          <w:rFonts w:hint="eastAsia" w:ascii="Times New Roman" w:hAnsi="Times New Roman" w:eastAsia="仿宋_GB2312"/>
          <w:sz w:val="32"/>
          <w:szCs w:val="32"/>
          <w:shd w:val="clear" w:color="auto" w:fill="FFFFFF"/>
        </w:rPr>
        <w:t>办公楼维修维护监控网络设备及办公设备运行及</w:t>
      </w:r>
      <w:r>
        <w:rPr>
          <w:rFonts w:hint="eastAsia" w:ascii="仿宋_GB2312" w:hAnsi="仿宋_GB2312" w:eastAsia="仿宋_GB2312" w:cs="仿宋_GB2312"/>
          <w:sz w:val="32"/>
          <w:szCs w:val="32"/>
        </w:rPr>
        <w:t>维护费、防汛演练、业务培训 、防汛值班工作、两座水库的值班楼及跃进水库管理房的零星维修维护、浪渣清捞清运、安全环保及水环境综合治理的广告宣传等。</w:t>
      </w:r>
    </w:p>
    <w:p>
      <w:pPr>
        <w:pStyle w:val="9"/>
        <w:spacing w:line="600" w:lineRule="exact"/>
        <w:ind w:firstLine="800" w:firstLineChars="25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维修养护经费支出59.79万元：用于建设沙坝田水库打井、蓄水池、供水及管网；维修改造完成沙坝田水库用电线路、高压电缆等；对大坝坝坡除草，闸门、启闭机、钢绳等维修养护，水库绿化管护，渠道维修养护等。</w:t>
      </w:r>
    </w:p>
    <w:p>
      <w:pPr>
        <w:pStyle w:val="9"/>
        <w:spacing w:line="600" w:lineRule="exact"/>
        <w:ind w:firstLine="800" w:firstLineChars="25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③农业水价综合改革奖补资金支出2万元：用于奖励积极践行节约用水的灌区部分用水乡(镇)和用水户。</w:t>
      </w:r>
    </w:p>
    <w:p>
      <w:pPr>
        <w:pStyle w:val="9"/>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（2）抗旱支出：191.44万元</w:t>
      </w:r>
      <w:r>
        <w:rPr>
          <w:rFonts w:ascii="仿宋_GB2312" w:hAnsi="仿宋_GB2312" w:eastAsia="仿宋_GB2312" w:cs="仿宋_GB2312"/>
          <w:sz w:val="32"/>
          <w:szCs w:val="32"/>
        </w:rPr>
        <w:tab/>
      </w:r>
    </w:p>
    <w:p>
      <w:pPr>
        <w:pStyle w:val="9"/>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用于胜利水库干渠抗旱工程节水改造：建设</w:t>
      </w:r>
      <w:r>
        <w:rPr>
          <w:rFonts w:hint="eastAsia" w:ascii="仿宋_GB2312" w:hAnsi="Times New Roman" w:eastAsia="仿宋_GB2312"/>
          <w:sz w:val="32"/>
          <w:szCs w:val="32"/>
          <w:shd w:val="clear" w:color="auto" w:fill="FFFFFF"/>
        </w:rPr>
        <w:t>新建蓄水池3个； 新建引水管道2734.35m ；新增闸阀70个及DN630蝶阀(0.8MPA)1套和1330mm×970mm×6mm节制闸3套，管理房4座。</w:t>
      </w:r>
    </w:p>
    <w:p>
      <w:pPr>
        <w:pStyle w:val="9"/>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（3）防汛：39.8万元</w:t>
      </w:r>
    </w:p>
    <w:p>
      <w:pPr>
        <w:pStyle w:val="9"/>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用于支付竣工验收后的“9.19”洪灾水毁修复一期工程尾款。</w:t>
      </w:r>
    </w:p>
    <w:p>
      <w:pPr>
        <w:pStyle w:val="9"/>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（4）其他水利支出：264.06万元</w:t>
      </w:r>
    </w:p>
    <w:p>
      <w:pPr>
        <w:pStyle w:val="9"/>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①水资源保护涵养林建设项目支出27.86万元：用于水资源涵养林建设的管护费。</w:t>
      </w:r>
    </w:p>
    <w:p>
      <w:pPr>
        <w:pStyle w:val="9"/>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②水库动态预警监管系统建设支出0.69万元：用于支付该项目到期的质量保证金。</w:t>
      </w:r>
    </w:p>
    <w:p>
      <w:pPr>
        <w:pStyle w:val="9"/>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③胜利水库大坝安全鉴定服务费及地勘费支出37.35万元：按合同约定项目完工一年后支付胜利水库大坝安全鉴定项目的质保金。</w:t>
      </w:r>
    </w:p>
    <w:p>
      <w:pPr>
        <w:pStyle w:val="9"/>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④援藏援彝人才补助经费支出8.00万元：用于支付援藏援彝人员生活补助等。</w:t>
      </w:r>
    </w:p>
    <w:p>
      <w:pPr>
        <w:pStyle w:val="9"/>
        <w:spacing w:line="600" w:lineRule="exact"/>
        <w:ind w:firstLine="640" w:firstLineChars="200"/>
        <w:jc w:val="left"/>
        <w:rPr>
          <w:rFonts w:hint="eastAsia" w:ascii="仿宋_GB2312" w:eastAsia="仿宋_GB2312"/>
          <w:color w:val="000000"/>
          <w:sz w:val="32"/>
          <w:szCs w:val="32"/>
        </w:rPr>
      </w:pPr>
      <w:r>
        <w:rPr>
          <w:rFonts w:hint="eastAsia" w:ascii="仿宋_GB2312" w:hAnsi="仿宋_GB2312" w:eastAsia="仿宋_GB2312" w:cs="仿宋_GB2312"/>
          <w:sz w:val="32"/>
          <w:szCs w:val="32"/>
        </w:rPr>
        <w:t>⑤沙坝田水库除险加固工程支出190.16万元：用于</w:t>
      </w:r>
      <w:r>
        <w:rPr>
          <w:rFonts w:hint="eastAsia" w:ascii="仿宋_GB2312" w:eastAsia="仿宋_GB2312"/>
          <w:color w:val="000000"/>
          <w:sz w:val="32"/>
          <w:szCs w:val="32"/>
        </w:rPr>
        <w:t>修建自动化监测系统、更换橡胶止水带、信息化建设云平台、闸室整治、修建防汛抢险道路、修建巡检钢栈道、量水堰整治、库尾拦污绳等8项内容。</w:t>
      </w:r>
    </w:p>
    <w:p>
      <w:pPr>
        <w:pStyle w:val="9"/>
        <w:spacing w:line="600" w:lineRule="exact"/>
        <w:ind w:firstLine="640" w:firstLineChars="200"/>
        <w:jc w:val="left"/>
        <w:rPr>
          <w:rFonts w:hint="eastAsia" w:ascii="仿宋_GB2312" w:hAnsi="仿宋_GB2312" w:eastAsia="仿宋_GB2312" w:cs="仿宋_GB2312"/>
          <w:sz w:val="32"/>
          <w:szCs w:val="32"/>
        </w:rPr>
      </w:pPr>
      <w:r>
        <w:rPr>
          <w:rFonts w:hint="eastAsia" w:ascii="仿宋_GB2312" w:eastAsia="仿宋_GB2312"/>
          <w:color w:val="000000"/>
          <w:sz w:val="32"/>
          <w:szCs w:val="32"/>
        </w:rPr>
        <w:t>(5)其他城乡社区公共设施支出112.82万元：用于支付</w:t>
      </w:r>
      <w:r>
        <w:rPr>
          <w:rFonts w:hint="eastAsia" w:ascii="仿宋_GB2312" w:hAnsi="仿宋_GB2312" w:eastAsia="仿宋_GB2312" w:cs="仿宋_GB2312"/>
          <w:sz w:val="32"/>
          <w:szCs w:val="32"/>
        </w:rPr>
        <w:t>竣工验收后的</w:t>
      </w:r>
      <w:r>
        <w:rPr>
          <w:rFonts w:hint="eastAsia" w:ascii="仿宋_GB2312" w:eastAsia="仿宋_GB2312"/>
          <w:color w:val="000000"/>
          <w:sz w:val="32"/>
          <w:szCs w:val="32"/>
        </w:rPr>
        <w:t>9.19洪灾水毁修复二期工程款。</w:t>
      </w:r>
    </w:p>
    <w:p>
      <w:pPr>
        <w:pStyle w:val="9"/>
        <w:spacing w:line="600" w:lineRule="exact"/>
        <w:ind w:firstLine="320" w:firstLineChars="100"/>
        <w:jc w:val="left"/>
        <w:rPr>
          <w:rFonts w:ascii="楷体" w:hAnsi="楷体" w:eastAsia="楷体" w:cs="仿宋_GB2312"/>
          <w:sz w:val="32"/>
          <w:szCs w:val="32"/>
        </w:rPr>
      </w:pPr>
      <w:r>
        <w:rPr>
          <w:rFonts w:hint="eastAsia" w:ascii="黑体" w:hAnsi="黑体" w:eastAsia="黑体" w:cs="仿宋_GB2312"/>
          <w:sz w:val="32"/>
          <w:szCs w:val="32"/>
        </w:rPr>
        <w:t>三、绩效目标完成情况分析</w:t>
      </w:r>
    </w:p>
    <w:p>
      <w:pPr>
        <w:pStyle w:val="9"/>
        <w:spacing w:line="600" w:lineRule="exact"/>
        <w:ind w:firstLine="640" w:firstLineChars="200"/>
        <w:jc w:val="left"/>
        <w:rPr>
          <w:rFonts w:ascii="楷体" w:hAnsi="楷体" w:eastAsia="楷体" w:cs="仿宋_GB2312"/>
          <w:sz w:val="32"/>
          <w:szCs w:val="32"/>
        </w:rPr>
      </w:pPr>
      <w:r>
        <w:rPr>
          <w:rFonts w:hint="eastAsia" w:ascii="仿宋_GB2312" w:hAnsi="仿宋_GB2312" w:eastAsia="仿宋_GB2312" w:cs="仿宋_GB2312"/>
          <w:sz w:val="32"/>
          <w:szCs w:val="32"/>
        </w:rPr>
        <w:t>根据绩效目标及指标值逐项分析。</w:t>
      </w:r>
    </w:p>
    <w:p>
      <w:pPr>
        <w:pStyle w:val="9"/>
        <w:spacing w:line="600" w:lineRule="exact"/>
        <w:ind w:firstLine="640" w:firstLineChars="200"/>
        <w:jc w:val="left"/>
        <w:rPr>
          <w:rFonts w:ascii="楷体" w:hAnsi="楷体" w:eastAsia="楷体" w:cs="仿宋_GB2312"/>
          <w:sz w:val="32"/>
          <w:szCs w:val="32"/>
        </w:rPr>
      </w:pPr>
      <w:r>
        <w:rPr>
          <w:rFonts w:hint="eastAsia" w:ascii="楷体" w:hAnsi="楷体" w:eastAsia="楷体" w:cs="仿宋_GB2312"/>
          <w:sz w:val="32"/>
          <w:szCs w:val="32"/>
        </w:rPr>
        <w:t>（一）市级财政资金绩效目标完成情况</w:t>
      </w:r>
    </w:p>
    <w:p>
      <w:pPr>
        <w:pStyle w:val="9"/>
        <w:spacing w:line="600" w:lineRule="exact"/>
        <w:ind w:firstLine="640" w:firstLineChars="200"/>
        <w:jc w:val="left"/>
        <w:rPr>
          <w:rFonts w:ascii="楷体" w:hAnsi="楷体" w:eastAsia="楷体" w:cs="仿宋_GB2312"/>
          <w:sz w:val="32"/>
          <w:szCs w:val="32"/>
        </w:rPr>
      </w:pPr>
      <w:r>
        <w:rPr>
          <w:rFonts w:hint="eastAsia" w:ascii="仿宋_GB2312" w:hAnsi="仿宋_GB2312" w:eastAsia="仿宋_GB2312" w:cs="仿宋_GB2312"/>
          <w:sz w:val="32"/>
          <w:szCs w:val="32"/>
        </w:rPr>
        <w:t>1.年初部门预算绩效目标完成情况</w:t>
      </w:r>
    </w:p>
    <w:p>
      <w:pPr>
        <w:pStyle w:val="9"/>
        <w:spacing w:line="600" w:lineRule="exact"/>
        <w:ind w:firstLine="640" w:firstLineChars="200"/>
        <w:jc w:val="left"/>
        <w:rPr>
          <w:rFonts w:hint="eastAsia" w:ascii="Calibri" w:hAnsi="Calibri" w:eastAsia="仿宋_GB2312" w:cs="Calibri"/>
          <w:sz w:val="32"/>
          <w:szCs w:val="32"/>
        </w:rPr>
      </w:pPr>
      <w:r>
        <w:rPr>
          <w:rFonts w:ascii="Calibri" w:hAnsi="Calibri" w:eastAsia="仿宋_GB2312" w:cs="Calibri"/>
          <w:sz w:val="32"/>
          <w:szCs w:val="32"/>
        </w:rPr>
        <w:t>（1）</w:t>
      </w:r>
      <w:r>
        <w:rPr>
          <w:rFonts w:hint="eastAsia" w:ascii="Calibri" w:hAnsi="Calibri" w:eastAsia="仿宋_GB2312" w:cs="Calibri"/>
          <w:sz w:val="32"/>
          <w:szCs w:val="32"/>
        </w:rPr>
        <w:t>水利工程运行与维护—运行管理费</w:t>
      </w:r>
    </w:p>
    <w:p>
      <w:pPr>
        <w:pStyle w:val="9"/>
        <w:spacing w:line="600" w:lineRule="exact"/>
        <w:ind w:firstLine="640" w:firstLineChars="200"/>
        <w:jc w:val="left"/>
        <w:rPr>
          <w:rFonts w:hint="eastAsia" w:ascii="Calibri" w:hAnsi="Calibri" w:eastAsia="仿宋_GB2312" w:cs="Calibri"/>
          <w:sz w:val="32"/>
          <w:szCs w:val="32"/>
        </w:rPr>
      </w:pPr>
      <w:r>
        <w:rPr>
          <w:rFonts w:hint="eastAsia" w:ascii="Times New Roman" w:hAnsi="Times New Roman" w:eastAsia="仿宋_GB2312"/>
          <w:sz w:val="32"/>
          <w:szCs w:val="32"/>
          <w:shd w:val="clear" w:color="auto" w:fill="FFFFFF"/>
        </w:rPr>
        <w:t>完成仁和办公区办公楼、胜利水库值班楼、沙坝田水库值班房的维修维护，购置办公家具、三条光纤租赁及网络通讯、完成对监控网络设备及办公设备的运行维护、完成防汛演练两次、业务培训及防汛值班工作、完成渠道的日常管护、跃进水库管理房的看护、及浪渣清理清运</w:t>
      </w:r>
      <w:r>
        <w:rPr>
          <w:rFonts w:hint="eastAsia" w:ascii="Calibri" w:hAnsi="Calibri" w:eastAsia="仿宋_GB2312" w:cs="Calibri"/>
          <w:sz w:val="32"/>
          <w:szCs w:val="32"/>
        </w:rPr>
        <w:t>等工作。达到水库管理标准化、规范化，使职工满意度达到95%以上。</w:t>
      </w:r>
    </w:p>
    <w:p>
      <w:pPr>
        <w:pStyle w:val="9"/>
        <w:spacing w:line="600" w:lineRule="exact"/>
        <w:ind w:firstLine="640" w:firstLineChars="200"/>
        <w:jc w:val="left"/>
        <w:rPr>
          <w:rFonts w:hint="eastAsia" w:ascii="Calibri" w:hAnsi="Calibri" w:eastAsia="仿宋_GB2312" w:cs="Calibri"/>
          <w:sz w:val="32"/>
          <w:szCs w:val="32"/>
        </w:rPr>
      </w:pPr>
      <w:r>
        <w:rPr>
          <w:rFonts w:hint="eastAsia" w:ascii="Calibri" w:hAnsi="Calibri" w:eastAsia="仿宋_GB2312" w:cs="Calibri"/>
          <w:sz w:val="32"/>
          <w:szCs w:val="32"/>
        </w:rPr>
        <w:t>（2）其他水利支出-援藏援彝干部人才补助经费</w:t>
      </w:r>
    </w:p>
    <w:p>
      <w:pPr>
        <w:pStyle w:val="9"/>
        <w:spacing w:line="600" w:lineRule="exact"/>
        <w:ind w:firstLine="640" w:firstLineChars="200"/>
        <w:jc w:val="left"/>
        <w:rPr>
          <w:rFonts w:hint="eastAsia" w:ascii="Calibri" w:hAnsi="Calibri" w:eastAsia="仿宋_GB2312" w:cs="Calibri"/>
          <w:sz w:val="32"/>
          <w:szCs w:val="32"/>
        </w:rPr>
      </w:pPr>
      <w:r>
        <w:rPr>
          <w:rFonts w:hint="eastAsia" w:ascii="Calibri" w:hAnsi="Calibri" w:eastAsia="仿宋_GB2312" w:cs="Calibri"/>
          <w:sz w:val="32"/>
          <w:szCs w:val="32"/>
        </w:rPr>
        <w:t>按时按量完成对援藏援彝人员的生活补助等发放工作, 充分发挥援藏援彝干部人才在推进藏区彝区脱贫攻坚的重要作用,援彝人员满意度100%。</w:t>
      </w:r>
    </w:p>
    <w:p>
      <w:pPr>
        <w:pStyle w:val="9"/>
        <w:spacing w:line="600" w:lineRule="exact"/>
        <w:ind w:firstLine="640" w:firstLineChars="200"/>
        <w:jc w:val="left"/>
        <w:rPr>
          <w:rFonts w:hint="eastAsia" w:ascii="Calibri" w:hAnsi="Calibri" w:eastAsia="仿宋_GB2312" w:cs="Calibri"/>
          <w:sz w:val="32"/>
          <w:szCs w:val="32"/>
        </w:rPr>
      </w:pPr>
      <w:r>
        <w:rPr>
          <w:rFonts w:hint="eastAsia" w:ascii="Calibri" w:hAnsi="Calibri" w:eastAsia="仿宋_GB2312" w:cs="Calibri"/>
          <w:sz w:val="32"/>
          <w:szCs w:val="32"/>
        </w:rPr>
        <w:t>（3）土地开发支出-维修养护经费</w:t>
      </w:r>
    </w:p>
    <w:p>
      <w:pPr>
        <w:pStyle w:val="9"/>
        <w:spacing w:line="600" w:lineRule="exact"/>
        <w:ind w:firstLine="640" w:firstLineChars="200"/>
        <w:jc w:val="left"/>
        <w:rPr>
          <w:rFonts w:hint="eastAsia" w:ascii="Times New Roman" w:hAnsi="Times New Roman" w:eastAsia="仿宋_GB2312"/>
          <w:sz w:val="32"/>
          <w:szCs w:val="32"/>
          <w:shd w:val="clear" w:color="auto" w:fill="FFFFFF"/>
        </w:rPr>
      </w:pPr>
      <w:r>
        <w:rPr>
          <w:rFonts w:hint="eastAsia" w:ascii="Calibri" w:hAnsi="Calibri" w:eastAsia="仿宋_GB2312" w:cs="Calibri"/>
          <w:sz w:val="32"/>
          <w:szCs w:val="32"/>
        </w:rPr>
        <w:t>已按计划按时完成</w:t>
      </w:r>
      <w:r>
        <w:rPr>
          <w:rFonts w:hint="eastAsia" w:ascii="Times New Roman" w:hAnsi="Times New Roman" w:eastAsia="楷体_GB2312"/>
          <w:kern w:val="0"/>
          <w:sz w:val="32"/>
          <w:szCs w:val="32"/>
        </w:rPr>
        <w:t xml:space="preserve">饮水深井取水工程； </w:t>
      </w:r>
      <w:r>
        <w:rPr>
          <w:rFonts w:hint="eastAsia" w:ascii="Times New Roman" w:hAnsi="Times New Roman" w:eastAsia="仿宋_GB2312"/>
          <w:sz w:val="32"/>
          <w:szCs w:val="32"/>
          <w:shd w:val="clear" w:color="auto" w:fill="FFFFFF"/>
        </w:rPr>
        <w:t>闸门及启闭机等维修养护； 防汛抢险道路维修改造； 坝坡除草、白蚁防治； 工程运行用电、绿化管护等；防汛抗旱抢险、渠道管护经费。饮水深井取水工程已完成，达到饮用水标准，保障水库管理人员身体健康； 闸门及启闭机等维修养护已完成，保证设施、设备正常运行； 坝坡除草、白蚁防治已完成，消除不安全隐患，便于巡查管理； 工程运行用电、绿化管护等已完成，保证安全用电，保护环境，防止水土流失； 防汛物资储备、演练、渠道管护已完成，保障水库汛期安全运行； 抽水设施改造、消防设施设备安装已完成。综上，项目基本按照计划的绩效指标实施并完成，完成质量较好。灌区及服务对象满意度达到90%以上。</w:t>
      </w:r>
    </w:p>
    <w:p>
      <w:pPr>
        <w:pStyle w:val="9"/>
        <w:spacing w:line="600" w:lineRule="exact"/>
        <w:ind w:firstLine="640" w:firstLineChars="200"/>
        <w:jc w:val="left"/>
        <w:rPr>
          <w:rFonts w:ascii="楷体" w:hAnsi="楷体" w:eastAsia="楷体" w:cs="仿宋_GB2312"/>
          <w:sz w:val="32"/>
          <w:szCs w:val="32"/>
        </w:rPr>
      </w:pPr>
      <w:r>
        <w:rPr>
          <w:rFonts w:hint="eastAsia" w:ascii="Times New Roman" w:hAnsi="Times New Roman" w:eastAsia="仿宋_GB2312"/>
          <w:sz w:val="32"/>
          <w:szCs w:val="32"/>
          <w:shd w:val="clear" w:color="auto" w:fill="FFFFFF"/>
        </w:rPr>
        <w:t>2</w:t>
      </w:r>
      <w:r>
        <w:rPr>
          <w:rFonts w:ascii="Times New Roman" w:hAnsi="Times New Roman" w:eastAsia="仿宋_GB2312"/>
          <w:sz w:val="32"/>
          <w:szCs w:val="32"/>
          <w:shd w:val="clear" w:color="auto" w:fill="FFFFFF"/>
        </w:rPr>
        <w:t>.市级</w:t>
      </w:r>
      <w:r>
        <w:rPr>
          <w:rFonts w:ascii="仿宋_GB2312" w:hAnsi="仿宋_GB2312" w:eastAsia="仿宋_GB2312" w:cs="仿宋_GB2312"/>
          <w:sz w:val="32"/>
          <w:szCs w:val="32"/>
        </w:rPr>
        <w:t>专项（</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资金绩效目标完成情况</w:t>
      </w:r>
    </w:p>
    <w:p>
      <w:pPr>
        <w:pStyle w:val="9"/>
        <w:spacing w:line="600" w:lineRule="exact"/>
        <w:ind w:firstLine="640" w:firstLineChars="200"/>
        <w:jc w:val="left"/>
        <w:rPr>
          <w:rFonts w:hint="eastAsia" w:ascii="仿宋_GB2312" w:hAnsi="仿宋_GB2312" w:eastAsia="仿宋_GB2312" w:cs="仿宋_GB2312"/>
          <w:sz w:val="32"/>
          <w:szCs w:val="32"/>
        </w:rPr>
      </w:pPr>
      <w:r>
        <w:rPr>
          <w:rFonts w:hint="eastAsia" w:ascii="Calibri" w:hAnsi="Calibri" w:eastAsia="仿宋_GB2312" w:cs="Calibri"/>
          <w:sz w:val="32"/>
          <w:szCs w:val="32"/>
        </w:rPr>
        <w:t xml:space="preserve">（1）土地开发支出—  </w:t>
      </w:r>
      <w:r>
        <w:rPr>
          <w:rFonts w:hint="eastAsia" w:ascii="仿宋_GB2312" w:hAnsi="仿宋_GB2312" w:eastAsia="仿宋_GB2312" w:cs="仿宋_GB2312"/>
          <w:sz w:val="32"/>
          <w:szCs w:val="32"/>
        </w:rPr>
        <w:t>农业水价综合改革奖补资金</w:t>
      </w:r>
    </w:p>
    <w:p>
      <w:pPr>
        <w:pStyle w:val="9"/>
        <w:spacing w:line="600" w:lineRule="exact"/>
        <w:ind w:firstLine="640" w:firstLineChars="200"/>
        <w:jc w:val="left"/>
        <w:rPr>
          <w:rFonts w:hint="eastAsia" w:ascii="Calibri" w:hAnsi="Calibri" w:eastAsia="仿宋_GB2312" w:cs="Calibri"/>
          <w:sz w:val="32"/>
          <w:szCs w:val="32"/>
        </w:rPr>
      </w:pPr>
      <w:r>
        <w:rPr>
          <w:rFonts w:hint="eastAsia" w:ascii="Calibri" w:hAnsi="Calibri" w:eastAsia="仿宋_GB2312" w:cs="Calibri"/>
          <w:sz w:val="32"/>
          <w:szCs w:val="32"/>
        </w:rPr>
        <w:t>用于奖励积极践行节约用水的灌区部分用水乡(镇)和用水户，该项目的实施可以促进灌区农业生产发展，在供水工程中实现用水有序，节约用水的目的。灌区用水户满意度达到95%以上。</w:t>
      </w:r>
    </w:p>
    <w:p>
      <w:pPr>
        <w:ind w:firstLine="480" w:firstLineChars="150"/>
        <w:jc w:val="left"/>
        <w:rPr>
          <w:rFonts w:hint="eastAsia" w:ascii="仿宋_GB2312" w:eastAsia="仿宋_GB2312"/>
          <w:sz w:val="32"/>
          <w:szCs w:val="32"/>
        </w:rPr>
      </w:pPr>
      <w:r>
        <w:rPr>
          <w:rFonts w:hint="eastAsia" w:ascii="仿宋_GB2312" w:eastAsia="仿宋_GB2312"/>
          <w:sz w:val="32"/>
          <w:szCs w:val="32"/>
        </w:rPr>
        <w:t>（2）其他水利支出—水资源保护涵养林建设</w:t>
      </w:r>
    </w:p>
    <w:p>
      <w:pPr>
        <w:pStyle w:val="9"/>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已按合同约定完成绿化树木栽植、水质建设、灌溉系统建设。项目实施后可促进水库水源地保护、防止水土流失。按合同约定支付当年管护费。</w:t>
      </w:r>
    </w:p>
    <w:p>
      <w:pPr>
        <w:pStyle w:val="9"/>
        <w:spacing w:line="600" w:lineRule="exact"/>
        <w:ind w:firstLine="640" w:firstLineChars="200"/>
        <w:jc w:val="left"/>
        <w:rPr>
          <w:rFonts w:ascii="楷体" w:hAnsi="楷体" w:eastAsia="楷体" w:cs="仿宋_GB2312"/>
          <w:sz w:val="32"/>
          <w:szCs w:val="32"/>
        </w:rPr>
      </w:pPr>
      <w:r>
        <w:rPr>
          <w:rFonts w:ascii="楷体" w:hAnsi="楷体" w:eastAsia="楷体" w:cs="仿宋_GB2312"/>
          <w:sz w:val="32"/>
          <w:szCs w:val="32"/>
        </w:rPr>
        <w:t>（二）上级专项（项目）资金绩效目标完成情况</w:t>
      </w:r>
    </w:p>
    <w:p>
      <w:pPr>
        <w:ind w:firstLine="640" w:firstLineChars="200"/>
        <w:jc w:val="left"/>
        <w:rPr>
          <w:rFonts w:hint="eastAsia" w:ascii="仿宋_GB2312" w:eastAsia="仿宋_GB2312"/>
          <w:sz w:val="32"/>
          <w:szCs w:val="32"/>
        </w:rPr>
      </w:pPr>
      <w:r>
        <w:rPr>
          <w:rFonts w:hint="eastAsia" w:ascii="仿宋_GB2312" w:eastAsia="仿宋_GB2312"/>
          <w:sz w:val="32"/>
          <w:szCs w:val="32"/>
        </w:rPr>
        <w:t>（1）抗旱资金—胜利水库干渠抗旱工程节水改造</w:t>
      </w:r>
    </w:p>
    <w:p>
      <w:pPr>
        <w:pStyle w:val="9"/>
        <w:spacing w:line="600" w:lineRule="exact"/>
        <w:ind w:firstLine="640" w:firstLineChars="200"/>
        <w:jc w:val="left"/>
        <w:rPr>
          <w:rFonts w:hint="eastAsia" w:ascii="Times New Roman" w:hAnsi="Times New Roman" w:eastAsia="仿宋_GB2312"/>
          <w:sz w:val="32"/>
          <w:szCs w:val="32"/>
          <w:shd w:val="clear" w:color="auto" w:fill="FFFFFF"/>
        </w:rPr>
      </w:pPr>
      <w:r>
        <w:rPr>
          <w:rFonts w:hint="eastAsia" w:ascii="仿宋_GB2312" w:eastAsia="仿宋_GB2312"/>
          <w:sz w:val="32"/>
          <w:szCs w:val="32"/>
          <w:shd w:val="clear" w:color="auto" w:fill="FFFFFF"/>
        </w:rPr>
        <w:t>该项目实施有效的改善项目区争水、抢水、偷水情况，最大程度保护干渠不受破坏，进一步提高灌区群众节约用水意识，规范灌区用水秩序，使有限水资源发挥最大经济社会效益，对促进农民增收、农业增产、农村增效有积极意义。且本项目实施后，初步估计每年能节约胜利水库水量30万m</w:t>
      </w:r>
      <w:r>
        <w:rPr>
          <w:rFonts w:hint="eastAsia" w:ascii="仿宋_GB2312" w:eastAsia="仿宋_GB2312"/>
          <w:sz w:val="32"/>
          <w:szCs w:val="32"/>
          <w:shd w:val="clear" w:color="auto" w:fill="FFFFFF"/>
          <w:vertAlign w:val="superscript"/>
        </w:rPr>
        <w:t>3</w:t>
      </w:r>
      <w:r>
        <w:rPr>
          <w:rFonts w:hint="eastAsia" w:ascii="仿宋_GB2312" w:eastAsia="仿宋_GB2312"/>
          <w:sz w:val="32"/>
          <w:szCs w:val="32"/>
          <w:shd w:val="clear" w:color="auto" w:fill="FFFFFF"/>
        </w:rPr>
        <w:t>，节约的水量可以通过阿署达支渠至巴斯箐斗渠再引至攀西科技城作生态用水。</w:t>
      </w:r>
      <w:r>
        <w:rPr>
          <w:rFonts w:hint="eastAsia" w:ascii="Times New Roman" w:hAnsi="Times New Roman" w:eastAsia="仿宋_GB2312"/>
          <w:sz w:val="32"/>
          <w:szCs w:val="32"/>
          <w:shd w:val="clear" w:color="auto" w:fill="FFFFFF"/>
        </w:rPr>
        <w:t>灌区及服务对象满意度达到90%以上。</w:t>
      </w:r>
    </w:p>
    <w:p>
      <w:pPr>
        <w:pStyle w:val="9"/>
        <w:spacing w:line="600" w:lineRule="exact"/>
        <w:ind w:firstLine="320" w:firstLineChars="100"/>
        <w:jc w:val="left"/>
        <w:rPr>
          <w:rFonts w:hint="eastAsia" w:ascii="仿宋_GB2312" w:eastAsia="仿宋_GB2312"/>
          <w:sz w:val="32"/>
          <w:szCs w:val="32"/>
          <w:shd w:val="clear" w:color="auto" w:fill="FFFFFF"/>
        </w:rPr>
      </w:pPr>
      <w:r>
        <w:rPr>
          <w:rFonts w:hint="eastAsia" w:ascii="仿宋_GB2312" w:eastAsia="仿宋_GB2312"/>
          <w:sz w:val="32"/>
          <w:szCs w:val="32"/>
          <w:shd w:val="clear" w:color="auto" w:fill="FFFFFF"/>
        </w:rPr>
        <w:t>（2）其他水利支出—沙坝田水库除险加固工程</w:t>
      </w:r>
    </w:p>
    <w:p>
      <w:pPr>
        <w:pStyle w:val="9"/>
        <w:spacing w:line="600" w:lineRule="exact"/>
        <w:ind w:firstLine="640" w:firstLineChars="200"/>
        <w:jc w:val="left"/>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项目的建成，消除了水库安全隐患，完善了工程管理设施，保障了工程安全度汛，保障了水库下泄生态流量，促进了下游河道生态恢复；改善了农田灌溉、人畜饮水等生产生活条件，促进了灌区农村经济持续稳定发展，也能促进灌区农村产业结构调整，促进农民增收，帮助群众脱贫致富，维护社会稳定；同时，项目的实施也为下游河道沿线森林草原防灭火设施提供用水需求</w:t>
      </w:r>
      <w:r>
        <w:rPr>
          <w:rFonts w:hint="eastAsia" w:ascii="Times New Roman" w:hAnsi="Times New Roman" w:eastAsia="仿宋_GB2312"/>
          <w:sz w:val="32"/>
          <w:szCs w:val="32"/>
          <w:shd w:val="clear" w:color="auto" w:fill="FFFFFF"/>
        </w:rPr>
        <w:t>。灌区群众及服务对象满意度达到90%以上</w:t>
      </w:r>
    </w:p>
    <w:p>
      <w:pPr>
        <w:pStyle w:val="9"/>
        <w:spacing w:line="600" w:lineRule="exact"/>
        <w:ind w:firstLine="640" w:firstLineChars="200"/>
        <w:jc w:val="left"/>
        <w:rPr>
          <w:rFonts w:hint="eastAsia" w:ascii="仿宋_GB2312" w:eastAsia="仿宋_GB2312"/>
          <w:sz w:val="32"/>
          <w:szCs w:val="32"/>
          <w:shd w:val="clear" w:color="auto" w:fill="FFFFFF"/>
        </w:rPr>
      </w:pPr>
      <w:r>
        <w:rPr>
          <w:rFonts w:hint="eastAsia" w:ascii="仿宋_GB2312" w:eastAsia="仿宋_GB2312"/>
          <w:sz w:val="32"/>
          <w:szCs w:val="32"/>
          <w:shd w:val="clear" w:color="auto" w:fill="FFFFFF"/>
        </w:rPr>
        <w:t>（三）自评结论</w:t>
      </w:r>
    </w:p>
    <w:p>
      <w:pPr>
        <w:pStyle w:val="9"/>
        <w:spacing w:line="600" w:lineRule="exact"/>
        <w:ind w:firstLine="640" w:firstLineChars="200"/>
        <w:jc w:val="left"/>
        <w:rPr>
          <w:rFonts w:hint="eastAsia" w:ascii="仿宋_GB2312" w:eastAsia="仿宋_GB2312"/>
          <w:sz w:val="32"/>
          <w:szCs w:val="32"/>
          <w:shd w:val="clear" w:color="auto" w:fill="FFFFFF"/>
        </w:rPr>
      </w:pPr>
      <w:r>
        <w:rPr>
          <w:rFonts w:hint="eastAsia" w:ascii="仿宋_GB2312" w:eastAsia="仿宋_GB2312"/>
          <w:sz w:val="32"/>
          <w:szCs w:val="32"/>
          <w:shd w:val="clear" w:color="auto" w:fill="FFFFFF"/>
        </w:rPr>
        <w:t>2020年在主管部门的指导下，中心领导亲自挂帅监督项目实施推进，科室负责人负责落实项目各项措施，岗位责任人各司其职，按程序有序推进。较好的完成了各项项目实施。</w:t>
      </w:r>
    </w:p>
    <w:p>
      <w:pPr>
        <w:pStyle w:val="9"/>
        <w:spacing w:line="600" w:lineRule="exact"/>
        <w:ind w:firstLine="480" w:firstLineChars="150"/>
        <w:jc w:val="left"/>
        <w:rPr>
          <w:rFonts w:hint="eastAsia" w:ascii="Times New Roman" w:hAnsi="Times New Roman" w:eastAsia="黑体"/>
          <w:sz w:val="32"/>
          <w:szCs w:val="32"/>
        </w:rPr>
      </w:pPr>
      <w:r>
        <w:rPr>
          <w:rFonts w:ascii="Times New Roman" w:hAnsi="Times New Roman" w:eastAsia="黑体"/>
          <w:sz w:val="32"/>
          <w:szCs w:val="32"/>
        </w:rPr>
        <w:t>四、偏离绩效目标的原因和下一步改进措施</w:t>
      </w:r>
    </w:p>
    <w:p>
      <w:pPr>
        <w:pStyle w:val="9"/>
        <w:spacing w:line="600"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t>因我中心管理范围大，管理渠道长，维修养护项目点多线长面广，在管理过程中会有需要及时维修的工程及设施设备项目和因汛期会产生无法预料的水毁项目，维修养护具有不确定性，只能在需要维修养护的项目中挑选最紧迫、最必要的项目进行维修。因此，实施的项目和年初申报的维修养护项目有一定的差异。</w:t>
      </w:r>
    </w:p>
    <w:p>
      <w:pPr>
        <w:pStyle w:val="9"/>
        <w:spacing w:line="60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下一步，我中心将更加细致地做好调查研究，对将要实施的项目做出科学预判，尽可能地保证项目建设不偏离绩效目标。</w:t>
      </w:r>
    </w:p>
    <w:p>
      <w:pPr>
        <w:pStyle w:val="9"/>
        <w:spacing w:line="600" w:lineRule="exact"/>
        <w:ind w:firstLine="320" w:firstLineChars="100"/>
        <w:jc w:val="left"/>
        <w:outlineLvl w:val="1"/>
        <w:rPr>
          <w:rFonts w:ascii="仿宋_GB2312" w:hAnsi="仿宋_GB2312" w:eastAsia="仿宋_GB2312" w:cs="仿宋_GB2312"/>
          <w:sz w:val="32"/>
          <w:szCs w:val="32"/>
        </w:rPr>
      </w:pPr>
      <w:bookmarkStart w:id="173" w:name="_Toc23536"/>
      <w:r>
        <w:rPr>
          <w:rFonts w:hint="eastAsia" w:ascii="黑体" w:hAnsi="黑体" w:eastAsia="黑体" w:cs="黑体"/>
          <w:sz w:val="32"/>
          <w:szCs w:val="32"/>
        </w:rPr>
        <w:t>附件</w:t>
      </w:r>
      <w:r>
        <w:rPr>
          <w:rFonts w:ascii="黑体" w:hAnsi="黑体" w:eastAsia="黑体" w:cs="黑体"/>
          <w:sz w:val="32"/>
          <w:szCs w:val="32"/>
        </w:rPr>
        <w:t>2</w:t>
      </w:r>
      <w:bookmarkEnd w:id="173"/>
    </w:p>
    <w:p>
      <w:pPr>
        <w:spacing w:line="580" w:lineRule="exact"/>
        <w:ind w:firstLine="640" w:firstLineChars="200"/>
        <w:rPr>
          <w:rFonts w:ascii="仿宋_GB2312" w:hAnsi="仿宋_GB2312" w:eastAsia="仿宋_GB2312" w:cs="仿宋_GB2312"/>
          <w:sz w:val="32"/>
          <w:szCs w:val="32"/>
        </w:rPr>
      </w:pPr>
    </w:p>
    <w:p>
      <w:pPr>
        <w:spacing w:line="600" w:lineRule="exact"/>
        <w:jc w:val="center"/>
        <w:rPr>
          <w:rFonts w:hint="eastAsia" w:ascii="方正小标宋简体" w:hAnsi="宋体" w:eastAsia="方正小标宋简体"/>
          <w:color w:val="000000"/>
          <w:kern w:val="0"/>
          <w:sz w:val="44"/>
          <w:szCs w:val="44"/>
        </w:rPr>
      </w:pPr>
      <w:r>
        <w:rPr>
          <w:rFonts w:hint="eastAsia" w:ascii="方正小标宋简体" w:hAnsi="宋体" w:eastAsia="方正小标宋简体"/>
          <w:color w:val="000000"/>
          <w:kern w:val="0"/>
          <w:sz w:val="44"/>
          <w:szCs w:val="44"/>
        </w:rPr>
        <w:t>攀枝花市胜利水利工程运行中心维修养护</w:t>
      </w:r>
    </w:p>
    <w:p>
      <w:pPr>
        <w:spacing w:line="600" w:lineRule="exact"/>
        <w:jc w:val="center"/>
        <w:rPr>
          <w:rFonts w:ascii="方正小标宋简体" w:hAnsi="宋体" w:eastAsia="方正小标宋简体"/>
          <w:color w:val="000000"/>
          <w:kern w:val="0"/>
          <w:sz w:val="44"/>
          <w:szCs w:val="44"/>
          <w:lang w:val="zh-CN"/>
        </w:rPr>
      </w:pPr>
      <w:r>
        <w:rPr>
          <w:rFonts w:hint="eastAsia" w:ascii="方正小标宋简体" w:hAnsi="宋体" w:eastAsia="方正小标宋简体"/>
          <w:color w:val="000000"/>
          <w:kern w:val="0"/>
          <w:sz w:val="44"/>
          <w:szCs w:val="44"/>
        </w:rPr>
        <w:t>经费</w:t>
      </w:r>
      <w:r>
        <w:rPr>
          <w:rFonts w:ascii="方正小标宋简体" w:hAnsi="宋体" w:eastAsia="方正小标宋简体"/>
          <w:color w:val="000000"/>
          <w:kern w:val="0"/>
          <w:sz w:val="44"/>
          <w:szCs w:val="44"/>
        </w:rPr>
        <w:t>2020</w:t>
      </w:r>
      <w:r>
        <w:rPr>
          <w:rFonts w:hint="eastAsia" w:ascii="方正小标宋简体" w:hAnsi="宋体" w:eastAsia="方正小标宋简体"/>
          <w:color w:val="000000"/>
          <w:kern w:val="0"/>
          <w:sz w:val="44"/>
          <w:szCs w:val="44"/>
        </w:rPr>
        <w:t>年</w:t>
      </w:r>
      <w:r>
        <w:rPr>
          <w:rFonts w:hint="eastAsia" w:ascii="方正小标宋简体" w:hAnsi="宋体" w:eastAsia="方正小标宋简体"/>
          <w:color w:val="000000"/>
          <w:kern w:val="0"/>
          <w:sz w:val="44"/>
          <w:szCs w:val="44"/>
          <w:lang w:val="zh-CN"/>
        </w:rPr>
        <w:t>绩效评价报告</w:t>
      </w:r>
    </w:p>
    <w:p>
      <w:pPr>
        <w:spacing w:line="600" w:lineRule="exact"/>
        <w:rPr>
          <w:rFonts w:ascii="宋体"/>
          <w:sz w:val="32"/>
          <w:szCs w:val="32"/>
          <w:lang w:val="zh-CN"/>
        </w:rPr>
      </w:pPr>
    </w:p>
    <w:p>
      <w:pPr>
        <w:adjustRightInd w:val="0"/>
        <w:snapToGrid w:val="0"/>
        <w:spacing w:line="600" w:lineRule="exact"/>
        <w:ind w:firstLine="72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（一）项目基本情况。</w:t>
      </w:r>
    </w:p>
    <w:p>
      <w:pPr>
        <w:autoSpaceDE w:val="0"/>
        <w:autoSpaceDN w:val="0"/>
        <w:adjustRightInd w:val="0"/>
        <w:spacing w:line="600" w:lineRule="exact"/>
        <w:ind w:firstLine="640" w:firstLineChars="200"/>
        <w:jc w:val="left"/>
        <w:rPr>
          <w:rFonts w:hint="eastAsia" w:eastAsia="楷体_GB2312"/>
          <w:kern w:val="0"/>
          <w:sz w:val="32"/>
          <w:szCs w:val="32"/>
        </w:rPr>
      </w:pPr>
      <w:r>
        <w:rPr>
          <w:rFonts w:hint="eastAsia" w:eastAsia="楷体_GB2312"/>
          <w:kern w:val="0"/>
          <w:sz w:val="32"/>
          <w:szCs w:val="32"/>
        </w:rPr>
        <w:t>1、项目单位基本情况</w:t>
      </w:r>
    </w:p>
    <w:p>
      <w:pPr>
        <w:autoSpaceDE w:val="0"/>
        <w:autoSpaceDN w:val="0"/>
        <w:adjustRightInd w:val="0"/>
        <w:spacing w:line="600" w:lineRule="exact"/>
        <w:ind w:firstLine="640" w:firstLineChars="200"/>
        <w:jc w:val="left"/>
        <w:rPr>
          <w:rFonts w:hint="eastAsia" w:ascii="仿宋_GB2312" w:hAnsi="宋体" w:eastAsia="仿宋_GB2312"/>
          <w:sz w:val="32"/>
          <w:szCs w:val="32"/>
          <w:lang w:val="zh-CN"/>
        </w:rPr>
      </w:pPr>
      <w:r>
        <w:rPr>
          <w:rFonts w:hint="eastAsia" w:ascii="仿宋_GB2312" w:hAnsi="宋体" w:eastAsia="仿宋_GB2312"/>
          <w:sz w:val="32"/>
          <w:szCs w:val="32"/>
          <w:lang w:val="zh-CN"/>
        </w:rPr>
        <w:t>攀枝花市胜利水利工程运行中心，为市水利局下属公益二类事业单位，中心内设4个科室：办公室、胜利管理科、沙坝田管理科、综合计划科，现有在职人员25人、退休人员2人。主要职能是负责胜利水库、沙坝田水库管理范围内的工程及设施设备管理；承担日常维修养护、运行管理、安全监测、供水调度具体工作；编制汛期调度运行计划、大坝安全应急预案、防汛抢险应急预案并按批准的水库调度规程组织实施；承担权限范围内的水生态保护具体工作。</w:t>
      </w:r>
    </w:p>
    <w:p>
      <w:pPr>
        <w:adjustRightInd w:val="0"/>
        <w:snapToGrid w:val="0"/>
        <w:spacing w:line="600" w:lineRule="exact"/>
        <w:ind w:firstLine="720"/>
        <w:rPr>
          <w:rFonts w:hint="eastAsia"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lang w:val="zh-CN"/>
        </w:rPr>
        <w:t>．项目立项、资金申报的依据。</w:t>
      </w:r>
    </w:p>
    <w:p>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攀枝花市胜利水利工程运行中心作为胜利水库和沙坝田两座水库的管理单位，为保障水库工程安全，以及下游数十万人民群众生命财产安全，对水库工程的日常管理需经常性的检查、维修、养护，及时发现、排除险情。根据《四川省水利工程管理条例》，公益性水利工程所需的运行、管理、维修养护、水毁修复、续建配套、更新改造经费，按照水利工程隶属关系，纳入同级财政预算</w:t>
      </w:r>
    </w:p>
    <w:p>
      <w:pPr>
        <w:adjustRightInd w:val="0"/>
        <w:snapToGrid w:val="0"/>
        <w:spacing w:line="600" w:lineRule="exact"/>
        <w:ind w:firstLine="720"/>
        <w:rPr>
          <w:rFonts w:hint="eastAsia"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lang w:val="zh-CN"/>
        </w:rPr>
        <w:t>．资金管理办法制定情况，资金支持具体项目的条件、范围与支持方式概况。</w:t>
      </w:r>
    </w:p>
    <w:p>
      <w:pPr>
        <w:autoSpaceDE w:val="0"/>
        <w:autoSpaceDN w:val="0"/>
        <w:adjustRightInd w:val="0"/>
        <w:spacing w:line="600" w:lineRule="exact"/>
        <w:ind w:firstLine="640" w:firstLineChars="200"/>
        <w:jc w:val="left"/>
        <w:rPr>
          <w:rFonts w:hint="eastAsia" w:ascii="仿宋_GB2312" w:hAnsi="宋体" w:eastAsia="仿宋_GB2312"/>
          <w:sz w:val="32"/>
          <w:szCs w:val="32"/>
          <w:lang w:val="zh-CN"/>
        </w:rPr>
      </w:pPr>
      <w:r>
        <w:rPr>
          <w:rFonts w:hint="eastAsia" w:ascii="仿宋_GB2312" w:hAnsi="宋体" w:eastAsia="仿宋_GB2312"/>
          <w:sz w:val="32"/>
          <w:szCs w:val="32"/>
          <w:lang w:val="zh-CN"/>
        </w:rPr>
        <w:t>中心维修养护经费严格按照财务管理制度专款专用，按照市财政划拨资金进行支付。</w:t>
      </w:r>
    </w:p>
    <w:p>
      <w:pPr>
        <w:adjustRightInd w:val="0"/>
        <w:snapToGrid w:val="0"/>
        <w:spacing w:line="600" w:lineRule="exact"/>
        <w:ind w:firstLine="800" w:firstLineChars="250"/>
        <w:rPr>
          <w:rFonts w:hint="eastAsia" w:ascii="仿宋_GB2312" w:hAnsi="宋体" w:eastAsia="仿宋_GB2312"/>
          <w:sz w:val="32"/>
          <w:szCs w:val="32"/>
          <w:lang w:val="zh-CN"/>
        </w:rPr>
      </w:pPr>
      <w:r>
        <w:rPr>
          <w:rFonts w:ascii="仿宋_GB2312" w:hAnsi="宋体" w:eastAsia="仿宋_GB2312"/>
          <w:sz w:val="32"/>
          <w:szCs w:val="32"/>
          <w:lang w:val="zh-CN"/>
        </w:rPr>
        <w:t>4</w:t>
      </w:r>
      <w:r>
        <w:rPr>
          <w:rFonts w:hint="eastAsia" w:ascii="仿宋_GB2312" w:hAnsi="宋体" w:eastAsia="仿宋_GB2312"/>
          <w:sz w:val="32"/>
          <w:szCs w:val="32"/>
          <w:lang w:val="zh-CN"/>
        </w:rPr>
        <w:t>．资金分配的原则及考虑因素。</w:t>
      </w:r>
    </w:p>
    <w:p>
      <w:pPr>
        <w:autoSpaceDE w:val="0"/>
        <w:autoSpaceDN w:val="0"/>
        <w:adjustRightInd w:val="0"/>
        <w:spacing w:line="600" w:lineRule="exact"/>
        <w:ind w:firstLine="640" w:firstLineChars="200"/>
        <w:jc w:val="left"/>
        <w:rPr>
          <w:rFonts w:ascii="仿宋_GB2312" w:hAnsi="宋体" w:eastAsia="仿宋_GB2312"/>
          <w:sz w:val="32"/>
          <w:szCs w:val="32"/>
          <w:lang w:val="zh-CN"/>
        </w:rPr>
      </w:pPr>
      <w:r>
        <w:rPr>
          <w:rFonts w:hint="eastAsia" w:ascii="仿宋_GB2312" w:hAnsi="宋体" w:eastAsia="仿宋_GB2312"/>
          <w:sz w:val="32"/>
          <w:szCs w:val="32"/>
          <w:lang w:val="zh-CN"/>
        </w:rPr>
        <w:t>项目预算的编制遵循统筹规划，合理安排，突出重点的原则，资金主要用于胜利水库和沙坝田两座水库的枢纽工程及渠道的维修养护。</w:t>
      </w:r>
    </w:p>
    <w:p>
      <w:pPr>
        <w:adjustRightInd w:val="0"/>
        <w:snapToGrid w:val="0"/>
        <w:spacing w:line="600" w:lineRule="exact"/>
        <w:ind w:firstLine="321" w:firstLineChars="100"/>
        <w:rPr>
          <w:rFonts w:ascii="楷体_GB2312" w:hAnsi="宋体" w:eastAsia="楷体_GB2312"/>
          <w:b/>
          <w:sz w:val="32"/>
          <w:szCs w:val="32"/>
          <w:lang w:val="zh-CN"/>
        </w:rPr>
      </w:pPr>
      <w:r>
        <w:rPr>
          <w:rFonts w:hint="eastAsia" w:ascii="楷体_GB2312" w:hAnsi="宋体" w:eastAsia="楷体_GB2312"/>
          <w:b/>
          <w:sz w:val="32"/>
          <w:szCs w:val="32"/>
          <w:lang w:val="zh-CN"/>
        </w:rPr>
        <w:t>（二）项目绩效目标。</w:t>
      </w:r>
    </w:p>
    <w:p>
      <w:pPr>
        <w:adjustRightInd w:val="0"/>
        <w:snapToGrid w:val="0"/>
        <w:spacing w:line="600" w:lineRule="exact"/>
        <w:ind w:firstLine="720"/>
        <w:rPr>
          <w:rFonts w:hint="eastAsia" w:ascii="仿宋_GB2312" w:hAnsi="宋体" w:eastAsia="仿宋_GB2312"/>
          <w:sz w:val="32"/>
          <w:szCs w:val="32"/>
          <w:lang w:val="zh-CN"/>
        </w:rPr>
      </w:pPr>
      <w:r>
        <w:rPr>
          <w:rFonts w:ascii="仿宋_GB2312" w:hAnsi="宋体" w:eastAsia="仿宋_GB2312"/>
          <w:sz w:val="32"/>
          <w:szCs w:val="32"/>
          <w:lang w:val="zh-CN"/>
        </w:rPr>
        <w:t>1</w:t>
      </w:r>
      <w:r>
        <w:rPr>
          <w:rFonts w:hint="eastAsia" w:ascii="仿宋_GB2312" w:hAnsi="宋体" w:eastAsia="仿宋_GB2312"/>
          <w:sz w:val="32"/>
          <w:szCs w:val="32"/>
          <w:lang w:val="zh-CN"/>
        </w:rPr>
        <w:t>．项目主要内容。</w:t>
      </w:r>
    </w:p>
    <w:p>
      <w:pPr>
        <w:autoSpaceDE w:val="0"/>
        <w:autoSpaceDN w:val="0"/>
        <w:adjustRightInd w:val="0"/>
        <w:spacing w:line="600" w:lineRule="exact"/>
        <w:ind w:firstLine="640" w:firstLineChars="200"/>
        <w:jc w:val="left"/>
        <w:rPr>
          <w:rFonts w:ascii="仿宋_GB2312" w:hAnsi="宋体" w:eastAsia="仿宋_GB2312"/>
          <w:sz w:val="32"/>
          <w:szCs w:val="32"/>
          <w:lang w:val="zh-CN"/>
        </w:rPr>
      </w:pPr>
      <w:r>
        <w:rPr>
          <w:rFonts w:hint="eastAsia" w:ascii="仿宋_GB2312" w:hAnsi="宋体" w:eastAsia="仿宋_GB2312"/>
          <w:sz w:val="32"/>
          <w:szCs w:val="32"/>
          <w:lang w:val="zh-CN"/>
        </w:rPr>
        <w:t>对胜利水库和沙坝田水库进行维修养护，主要内容：建设沙坝田水库打井、蓄水池、供水及管网；维修改造完成沙坝田水库用电线路、高压电缆等；对大坝坝坡除草，闸门、启闭机、钢绳等维修养护，水库绿化管护，渠道维修养护，防汛物料储备、演练等工作。</w:t>
      </w:r>
    </w:p>
    <w:p>
      <w:pPr>
        <w:adjustRightInd w:val="0"/>
        <w:snapToGrid w:val="0"/>
        <w:spacing w:line="600" w:lineRule="exact"/>
        <w:ind w:firstLine="640" w:firstLineChars="200"/>
        <w:rPr>
          <w:rFonts w:hint="eastAsia"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lang w:val="zh-CN"/>
        </w:rPr>
        <w:t>．项目应实现的具体绩效目标，包括目标的量化、细化情况以及项目实施进度计划等。</w:t>
      </w:r>
    </w:p>
    <w:p>
      <w:pPr>
        <w:autoSpaceDE w:val="0"/>
        <w:autoSpaceDN w:val="0"/>
        <w:adjustRightInd w:val="0"/>
        <w:spacing w:line="600" w:lineRule="exact"/>
        <w:ind w:firstLine="640" w:firstLineChars="200"/>
        <w:jc w:val="left"/>
        <w:rPr>
          <w:rFonts w:hint="eastAsia" w:ascii="仿宋_GB2312" w:hAnsi="宋体" w:eastAsia="仿宋_GB2312"/>
          <w:sz w:val="32"/>
          <w:szCs w:val="32"/>
          <w:lang w:val="zh-CN"/>
        </w:rPr>
      </w:pPr>
      <w:r>
        <w:rPr>
          <w:rFonts w:hint="eastAsia" w:ascii="仿宋_GB2312" w:hAnsi="宋体" w:eastAsia="仿宋_GB2312"/>
          <w:sz w:val="32"/>
          <w:szCs w:val="32"/>
          <w:lang w:val="zh-CN"/>
        </w:rPr>
        <w:t>2020年完成胜利水库和沙坝田水库枢纽、渠道工程维修养护，确保水库安全运行。</w:t>
      </w:r>
    </w:p>
    <w:p>
      <w:pPr>
        <w:adjustRightInd w:val="0"/>
        <w:snapToGrid w:val="0"/>
        <w:spacing w:line="600" w:lineRule="exact"/>
        <w:ind w:firstLine="480" w:firstLineChars="150"/>
        <w:rPr>
          <w:rFonts w:hint="eastAsia"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lang w:val="zh-CN"/>
        </w:rPr>
        <w:t>．分析评价申报内容是否与实际相符，申报目标是否合理可行。</w:t>
      </w:r>
    </w:p>
    <w:p>
      <w:pPr>
        <w:autoSpaceDE w:val="0"/>
        <w:autoSpaceDN w:val="0"/>
        <w:adjustRightInd w:val="0"/>
        <w:spacing w:line="600" w:lineRule="exact"/>
        <w:ind w:firstLine="640" w:firstLineChars="200"/>
        <w:jc w:val="left"/>
        <w:rPr>
          <w:rFonts w:ascii="仿宋_GB2312" w:hAnsi="宋体" w:eastAsia="仿宋_GB2312"/>
          <w:sz w:val="32"/>
          <w:szCs w:val="32"/>
          <w:lang w:val="zh-CN"/>
        </w:rPr>
      </w:pPr>
      <w:r>
        <w:rPr>
          <w:rFonts w:hint="eastAsia" w:ascii="仿宋_GB2312" w:hAnsi="宋体" w:eastAsia="仿宋_GB2312"/>
          <w:sz w:val="32"/>
          <w:szCs w:val="32"/>
          <w:lang w:val="zh-CN"/>
        </w:rPr>
        <w:t>维修养护经费</w:t>
      </w:r>
      <w:r>
        <w:rPr>
          <w:rFonts w:ascii="仿宋_GB2312" w:hAnsi="宋体" w:eastAsia="仿宋_GB2312"/>
          <w:sz w:val="32"/>
          <w:szCs w:val="32"/>
          <w:lang w:val="zh-CN"/>
        </w:rPr>
        <w:t>申报内容与实际相符，申报目标合理可行。</w:t>
      </w:r>
    </w:p>
    <w:p>
      <w:pPr>
        <w:adjustRightInd w:val="0"/>
        <w:snapToGrid w:val="0"/>
        <w:spacing w:line="600" w:lineRule="exact"/>
        <w:ind w:firstLine="160" w:firstLineChars="50"/>
        <w:rPr>
          <w:rFonts w:ascii="仿宋_GB2312" w:hAnsi="宋体" w:eastAsia="仿宋_GB2312"/>
          <w:sz w:val="32"/>
          <w:szCs w:val="32"/>
          <w:lang w:val="zh-CN"/>
        </w:rPr>
      </w:pPr>
      <w:r>
        <w:rPr>
          <w:rFonts w:hint="eastAsia" w:ascii="仿宋_GB2312" w:hAnsi="宋体" w:eastAsia="仿宋_GB2312"/>
          <w:sz w:val="32"/>
          <w:szCs w:val="32"/>
          <w:lang w:val="zh-CN"/>
        </w:rPr>
        <w:t xml:space="preserve"> </w:t>
      </w:r>
      <w:r>
        <w:rPr>
          <w:rFonts w:hint="eastAsia" w:ascii="黑体" w:hAnsi="宋体" w:eastAsia="黑体"/>
          <w:sz w:val="32"/>
          <w:szCs w:val="32"/>
        </w:rPr>
        <w:t>二、项目资金申报及使用情况</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（一）项目资金申报及批复情况。</w:t>
      </w:r>
    </w:p>
    <w:p>
      <w:pPr>
        <w:adjustRightInd w:val="0"/>
        <w:snapToGrid w:val="0"/>
        <w:spacing w:line="600" w:lineRule="exact"/>
        <w:ind w:firstLine="720"/>
        <w:rPr>
          <w:rFonts w:hint="eastAsia" w:ascii="仿宋_GB2312" w:hAnsi="宋体" w:eastAsia="仿宋_GB2312"/>
          <w:sz w:val="32"/>
          <w:szCs w:val="32"/>
          <w:lang w:val="zh-CN"/>
        </w:rPr>
      </w:pPr>
      <w:r>
        <w:rPr>
          <w:rFonts w:hint="eastAsia" w:ascii="仿宋_GB2312" w:hAnsi="宋体" w:eastAsia="仿宋_GB2312"/>
          <w:sz w:val="32"/>
          <w:szCs w:val="32"/>
          <w:lang w:val="zh-CN"/>
        </w:rPr>
        <w:t>说明项目资金申报、批复及预算调整等程序的相关情况。</w:t>
      </w:r>
    </w:p>
    <w:p>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攀枝花市胜利水利工程运行中心2020年度维修养护经费预算申报金额为80万元。根据《</w:t>
      </w:r>
      <w:r>
        <w:rPr>
          <w:rFonts w:ascii="仿宋_GB2312" w:hAnsi="宋体" w:eastAsia="仿宋_GB2312"/>
          <w:sz w:val="32"/>
          <w:szCs w:val="32"/>
          <w:lang w:val="zh-CN"/>
        </w:rPr>
        <w:t>攀枝花市财政局 关于 2020 年市级部门预算的批复</w:t>
      </w:r>
      <w:r>
        <w:rPr>
          <w:rFonts w:hint="eastAsia" w:ascii="仿宋_GB2312" w:hAnsi="宋体" w:eastAsia="仿宋_GB2312"/>
          <w:sz w:val="32"/>
          <w:szCs w:val="32"/>
          <w:lang w:val="zh-CN"/>
        </w:rPr>
        <w:t>》（攀财资预[2020]3号文），维修养护经费年初预算批复为80万元</w:t>
      </w:r>
      <w:r>
        <w:rPr>
          <w:rFonts w:ascii="仿宋_GB2312" w:hAnsi="宋体" w:eastAsia="仿宋_GB2312"/>
          <w:sz w:val="32"/>
          <w:szCs w:val="32"/>
          <w:lang w:val="zh-CN"/>
        </w:rPr>
        <w:t>。</w:t>
      </w:r>
    </w:p>
    <w:p>
      <w:pPr>
        <w:adjustRightInd w:val="0"/>
        <w:snapToGrid w:val="0"/>
        <w:spacing w:line="600" w:lineRule="exact"/>
        <w:ind w:firstLine="720"/>
        <w:rPr>
          <w:rFonts w:ascii="仿宋_GB2312" w:hAnsi="宋体" w:eastAsia="仿宋_GB2312"/>
          <w:sz w:val="32"/>
          <w:szCs w:val="32"/>
          <w:lang w:val="zh-CN"/>
        </w:rPr>
      </w:pPr>
      <w:r>
        <w:rPr>
          <w:rFonts w:hint="eastAsia" w:ascii="楷体_GB2312" w:hAnsi="宋体" w:eastAsia="楷体_GB2312"/>
          <w:b/>
          <w:sz w:val="32"/>
          <w:szCs w:val="32"/>
          <w:lang w:val="zh-CN"/>
        </w:rPr>
        <w:t>（二）资金计划、到位及使用情况（可用表格形式反映）。</w:t>
      </w:r>
    </w:p>
    <w:p>
      <w:pPr>
        <w:autoSpaceDE w:val="0"/>
        <w:autoSpaceDN w:val="0"/>
        <w:adjustRightInd w:val="0"/>
        <w:spacing w:line="600" w:lineRule="exact"/>
        <w:ind w:firstLine="640" w:firstLineChars="200"/>
        <w:jc w:val="left"/>
        <w:rPr>
          <w:rFonts w:ascii="仿宋_GB2312" w:hAnsi="宋体" w:eastAsia="仿宋_GB2312"/>
          <w:sz w:val="32"/>
          <w:szCs w:val="32"/>
          <w:lang w:val="zh-CN"/>
        </w:rPr>
      </w:pPr>
      <w:r>
        <w:rPr>
          <w:rFonts w:ascii="仿宋_GB2312" w:hAnsi="宋体" w:eastAsia="仿宋_GB2312"/>
          <w:sz w:val="32"/>
          <w:szCs w:val="32"/>
          <w:lang w:val="zh-CN"/>
        </w:rPr>
        <w:t>1．资金计划。</w:t>
      </w:r>
    </w:p>
    <w:p>
      <w:pPr>
        <w:autoSpaceDE w:val="0"/>
        <w:autoSpaceDN w:val="0"/>
        <w:adjustRightInd w:val="0"/>
        <w:spacing w:line="600" w:lineRule="exact"/>
        <w:ind w:firstLine="640" w:firstLineChars="200"/>
        <w:jc w:val="left"/>
        <w:rPr>
          <w:rFonts w:ascii="仿宋_GB2312" w:hAnsi="宋体" w:eastAsia="仿宋_GB2312"/>
          <w:sz w:val="32"/>
          <w:szCs w:val="32"/>
          <w:lang w:val="zh-CN"/>
        </w:rPr>
      </w:pPr>
      <w:r>
        <w:rPr>
          <w:rFonts w:hint="eastAsia" w:ascii="仿宋_GB2312" w:hAnsi="宋体" w:eastAsia="仿宋_GB2312"/>
          <w:sz w:val="32"/>
          <w:szCs w:val="32"/>
          <w:lang w:val="zh-CN"/>
        </w:rPr>
        <w:t>攀枝花市胜利水利工程运行中心2020年度维修养护经费资金计划为80万元，均为攀枝花市</w:t>
      </w:r>
      <w:r>
        <w:rPr>
          <w:rFonts w:ascii="仿宋_GB2312" w:hAnsi="宋体" w:eastAsia="仿宋_GB2312"/>
          <w:sz w:val="32"/>
          <w:szCs w:val="32"/>
          <w:lang w:val="zh-CN"/>
        </w:rPr>
        <w:t>财政资金。</w:t>
      </w:r>
    </w:p>
    <w:p>
      <w:pPr>
        <w:autoSpaceDE w:val="0"/>
        <w:autoSpaceDN w:val="0"/>
        <w:adjustRightInd w:val="0"/>
        <w:spacing w:line="600" w:lineRule="exact"/>
        <w:ind w:firstLine="640" w:firstLineChars="200"/>
        <w:jc w:val="left"/>
        <w:rPr>
          <w:rFonts w:ascii="仿宋_GB2312" w:hAnsi="宋体" w:eastAsia="仿宋_GB2312"/>
          <w:sz w:val="32"/>
          <w:szCs w:val="32"/>
          <w:lang w:val="zh-CN"/>
        </w:rPr>
      </w:pPr>
      <w:r>
        <w:rPr>
          <w:rFonts w:ascii="仿宋_GB2312" w:hAnsi="宋体" w:eastAsia="仿宋_GB2312"/>
          <w:sz w:val="32"/>
          <w:szCs w:val="32"/>
          <w:lang w:val="zh-CN"/>
        </w:rPr>
        <w:t>2．资金到位。</w:t>
      </w:r>
    </w:p>
    <w:p>
      <w:pPr>
        <w:autoSpaceDE w:val="0"/>
        <w:autoSpaceDN w:val="0"/>
        <w:adjustRightInd w:val="0"/>
        <w:spacing w:line="600" w:lineRule="exact"/>
        <w:ind w:firstLine="800" w:firstLineChars="250"/>
        <w:jc w:val="left"/>
        <w:rPr>
          <w:rFonts w:hint="eastAsia" w:ascii="仿宋_GB2312" w:hAnsi="宋体" w:eastAsia="仿宋_GB2312"/>
          <w:sz w:val="32"/>
          <w:szCs w:val="32"/>
          <w:lang w:val="zh-CN"/>
        </w:rPr>
      </w:pPr>
      <w:r>
        <w:rPr>
          <w:rFonts w:hint="eastAsia" w:ascii="仿宋_GB2312" w:hAnsi="宋体" w:eastAsia="仿宋_GB2312"/>
          <w:sz w:val="32"/>
          <w:szCs w:val="32"/>
          <w:lang w:val="zh-CN"/>
        </w:rPr>
        <w:t>根据《</w:t>
      </w:r>
      <w:r>
        <w:rPr>
          <w:rFonts w:ascii="仿宋_GB2312" w:hAnsi="宋体" w:eastAsia="仿宋_GB2312"/>
          <w:sz w:val="32"/>
          <w:szCs w:val="32"/>
          <w:lang w:val="zh-CN"/>
        </w:rPr>
        <w:t>攀枝花市财政局 关于 2020 年市级部门预算的批复</w:t>
      </w:r>
      <w:r>
        <w:rPr>
          <w:rFonts w:hint="eastAsia" w:ascii="仿宋_GB2312" w:hAnsi="宋体" w:eastAsia="仿宋_GB2312"/>
          <w:sz w:val="32"/>
          <w:szCs w:val="32"/>
          <w:lang w:val="zh-CN"/>
        </w:rPr>
        <w:t>》（攀财资预[2020]3号文），市财政下达维修养护经费为80万元，截止</w:t>
      </w:r>
      <w:r>
        <w:rPr>
          <w:rFonts w:ascii="仿宋_GB2312" w:hAnsi="宋体" w:eastAsia="仿宋_GB2312"/>
          <w:sz w:val="32"/>
          <w:szCs w:val="32"/>
          <w:lang w:val="zh-CN"/>
        </w:rPr>
        <w:t>评价时</w:t>
      </w:r>
      <w:r>
        <w:rPr>
          <w:rFonts w:hint="eastAsia" w:ascii="仿宋_GB2312" w:hAnsi="宋体" w:eastAsia="仿宋_GB2312"/>
          <w:sz w:val="32"/>
          <w:szCs w:val="32"/>
          <w:lang w:val="zh-CN"/>
        </w:rPr>
        <w:t>维修养护经费实际到位80万元，资金到位率100%。</w:t>
      </w:r>
    </w:p>
    <w:p>
      <w:pPr>
        <w:autoSpaceDE w:val="0"/>
        <w:autoSpaceDN w:val="0"/>
        <w:adjustRightInd w:val="0"/>
        <w:spacing w:line="600" w:lineRule="exact"/>
        <w:ind w:firstLine="640" w:firstLineChars="200"/>
        <w:jc w:val="left"/>
        <w:rPr>
          <w:rFonts w:ascii="仿宋_GB2312" w:hAnsi="宋体" w:eastAsia="仿宋_GB2312"/>
          <w:sz w:val="32"/>
          <w:szCs w:val="32"/>
          <w:lang w:val="zh-CN"/>
        </w:rPr>
      </w:pPr>
      <w:r>
        <w:rPr>
          <w:rFonts w:ascii="仿宋_GB2312" w:hAnsi="宋体" w:eastAsia="仿宋_GB2312"/>
          <w:sz w:val="32"/>
          <w:szCs w:val="32"/>
          <w:lang w:val="zh-CN"/>
        </w:rPr>
        <w:t>3．资金使用。</w:t>
      </w:r>
    </w:p>
    <w:p>
      <w:pPr>
        <w:adjustRightInd w:val="0"/>
        <w:snapToGrid w:val="0"/>
        <w:spacing w:line="600" w:lineRule="exact"/>
        <w:ind w:firstLine="720"/>
        <w:rPr>
          <w:rFonts w:hint="eastAsia" w:ascii="仿宋_GB2312" w:hAnsi="宋体" w:eastAsia="仿宋_GB2312"/>
          <w:sz w:val="32"/>
          <w:szCs w:val="32"/>
          <w:lang w:val="zh-CN"/>
        </w:rPr>
      </w:pPr>
      <w:r>
        <w:rPr>
          <w:rFonts w:ascii="仿宋_GB2312" w:hAnsi="宋体" w:eastAsia="仿宋_GB2312"/>
          <w:sz w:val="32"/>
          <w:szCs w:val="32"/>
          <w:lang w:val="zh-CN"/>
        </w:rPr>
        <w:t>统计截止评价时点</w:t>
      </w:r>
      <w:r>
        <w:rPr>
          <w:rFonts w:hint="eastAsia" w:ascii="仿宋_GB2312" w:hAnsi="宋体" w:eastAsia="仿宋_GB2312"/>
          <w:sz w:val="32"/>
          <w:szCs w:val="32"/>
          <w:lang w:val="zh-CN"/>
        </w:rPr>
        <w:t>维修养护经费实际使用为80万元，资金使用率100%。</w:t>
      </w:r>
    </w:p>
    <w:p>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（三）项目财务管理情况。</w:t>
      </w:r>
    </w:p>
    <w:p>
      <w:pPr>
        <w:autoSpaceDE w:val="0"/>
        <w:autoSpaceDN w:val="0"/>
        <w:adjustRightInd w:val="0"/>
        <w:spacing w:line="600" w:lineRule="exact"/>
        <w:ind w:firstLine="640" w:firstLineChars="200"/>
        <w:jc w:val="left"/>
        <w:rPr>
          <w:rFonts w:hint="eastAsia" w:ascii="仿宋_GB2312" w:hAnsi="宋体" w:eastAsia="仿宋_GB2312"/>
          <w:sz w:val="32"/>
          <w:szCs w:val="32"/>
          <w:lang w:val="zh-CN"/>
        </w:rPr>
      </w:pPr>
      <w:r>
        <w:rPr>
          <w:rFonts w:hint="eastAsia" w:ascii="仿宋_GB2312" w:hAnsi="宋体" w:eastAsia="仿宋_GB2312"/>
          <w:sz w:val="32"/>
          <w:szCs w:val="32"/>
          <w:lang w:val="zh-CN"/>
        </w:rPr>
        <w:t>攀枝花市胜利水利工程运行中心2020年度维修养护资金管理严格遵守相关法律法规，</w:t>
      </w:r>
      <w:r>
        <w:rPr>
          <w:rFonts w:ascii="仿宋_GB2312" w:hAnsi="宋体" w:eastAsia="仿宋_GB2312"/>
          <w:sz w:val="32"/>
          <w:szCs w:val="32"/>
          <w:lang w:val="zh-CN"/>
        </w:rPr>
        <w:t>严格执行财务管理制度</w:t>
      </w:r>
      <w:r>
        <w:rPr>
          <w:rFonts w:hint="eastAsia" w:ascii="仿宋_GB2312" w:hAnsi="宋体" w:eastAsia="仿宋_GB2312"/>
          <w:sz w:val="32"/>
          <w:szCs w:val="32"/>
          <w:lang w:val="zh-CN"/>
        </w:rPr>
        <w:t>，对项目专项资金实行单独核算、专款专用的原则，无专项资金被挤占、截留和挪用现象。</w:t>
      </w:r>
    </w:p>
    <w:p>
      <w:pPr>
        <w:adjustRightInd w:val="0"/>
        <w:snapToGrid w:val="0"/>
        <w:spacing w:line="600" w:lineRule="exact"/>
        <w:ind w:firstLine="720"/>
        <w:rPr>
          <w:rFonts w:ascii="黑体" w:hAnsi="宋体" w:eastAsia="黑体"/>
          <w:sz w:val="32"/>
          <w:szCs w:val="32"/>
        </w:rPr>
      </w:pPr>
      <w:r>
        <w:rPr>
          <w:rFonts w:hint="eastAsia" w:ascii="黑体" w:hAnsi="宋体" w:eastAsia="黑体"/>
          <w:sz w:val="32"/>
          <w:szCs w:val="32"/>
        </w:rPr>
        <w:t>三、项目实施及管理情况</w:t>
      </w:r>
    </w:p>
    <w:p>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结合项目组织实施管理办法，重点围绕以下内容进行分析评价，并对自评中发现的问题分析说明。</w:t>
      </w:r>
    </w:p>
    <w:p>
      <w:pPr>
        <w:numPr>
          <w:ilvl w:val="0"/>
          <w:numId w:val="5"/>
        </w:numPr>
        <w:adjustRightInd w:val="0"/>
        <w:snapToGrid w:val="0"/>
        <w:spacing w:line="600" w:lineRule="exact"/>
        <w:rPr>
          <w:rFonts w:hint="eastAsia" w:ascii="楷体_GB2312" w:hAnsi="宋体" w:eastAsia="楷体_GB2312"/>
          <w:b/>
          <w:sz w:val="32"/>
          <w:szCs w:val="32"/>
          <w:lang w:val="zh-CN"/>
        </w:rPr>
      </w:pPr>
      <w:r>
        <w:rPr>
          <w:rFonts w:hint="eastAsia" w:ascii="楷体_GB2312" w:hAnsi="宋体" w:eastAsia="楷体_GB2312"/>
          <w:b/>
          <w:sz w:val="32"/>
          <w:szCs w:val="32"/>
          <w:lang w:val="zh-CN"/>
        </w:rPr>
        <w:t>项目组织架构及实施流程。</w:t>
      </w:r>
    </w:p>
    <w:p>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维修养护项目由科室负责人向领导班子做出初步规划汇报后，由中心主任办公会讨论决定项目是否实施。</w:t>
      </w:r>
    </w:p>
    <w:p>
      <w:pPr>
        <w:autoSpaceDE w:val="0"/>
        <w:autoSpaceDN w:val="0"/>
        <w:adjustRightInd w:val="0"/>
        <w:spacing w:line="600" w:lineRule="exact"/>
        <w:ind w:firstLine="643" w:firstLineChars="200"/>
        <w:jc w:val="left"/>
        <w:rPr>
          <w:rFonts w:eastAsia="楷体_GB2312"/>
          <w:kern w:val="0"/>
          <w:sz w:val="32"/>
          <w:szCs w:val="32"/>
        </w:rPr>
      </w:pPr>
      <w:r>
        <w:rPr>
          <w:rFonts w:hint="eastAsia" w:ascii="楷体_GB2312" w:hAnsi="宋体" w:eastAsia="楷体_GB2312"/>
          <w:b/>
          <w:sz w:val="32"/>
          <w:szCs w:val="32"/>
          <w:lang w:val="zh-CN"/>
        </w:rPr>
        <w:t>（二）项目管理及监管情况。</w:t>
      </w:r>
      <w:r>
        <w:rPr>
          <w:rFonts w:hint="eastAsia" w:ascii="仿宋_GB2312" w:hAnsi="宋体" w:eastAsia="仿宋_GB2312"/>
          <w:sz w:val="32"/>
          <w:szCs w:val="32"/>
          <w:lang w:val="zh-CN"/>
        </w:rPr>
        <w:t>项目在</w:t>
      </w:r>
      <w:r>
        <w:rPr>
          <w:rFonts w:ascii="仿宋_GB2312" w:hAnsi="宋体" w:eastAsia="仿宋_GB2312"/>
          <w:sz w:val="32"/>
          <w:szCs w:val="32"/>
          <w:lang w:val="zh-CN"/>
        </w:rPr>
        <w:t>招投标、政府采购</w:t>
      </w:r>
      <w:r>
        <w:rPr>
          <w:rFonts w:hint="eastAsia" w:ascii="仿宋_GB2312" w:hAnsi="宋体" w:eastAsia="仿宋_GB2312"/>
          <w:sz w:val="32"/>
          <w:szCs w:val="32"/>
          <w:lang w:val="zh-CN"/>
        </w:rPr>
        <w:t>、公示、建设、验收等各个环节，严格按照《工程项目管理制度》执行，项目招标根据资金大小，按照招投标法以及政府采购法有关规定执行。财政对其事前、事中、事后全程监管</w:t>
      </w:r>
      <w:r>
        <w:rPr>
          <w:rFonts w:hint="eastAsia" w:eastAsia="楷体_GB2312"/>
          <w:kern w:val="0"/>
          <w:sz w:val="32"/>
          <w:szCs w:val="32"/>
        </w:rPr>
        <w:t>。</w:t>
      </w:r>
    </w:p>
    <w:p>
      <w:pPr>
        <w:adjustRightInd w:val="0"/>
        <w:snapToGrid w:val="0"/>
        <w:spacing w:line="600" w:lineRule="exact"/>
        <w:ind w:firstLine="720"/>
        <w:rPr>
          <w:rFonts w:ascii="仿宋_GB2312" w:hAnsi="宋体" w:eastAsia="仿宋_GB2312"/>
          <w:sz w:val="32"/>
          <w:szCs w:val="32"/>
          <w:lang w:val="zh-CN"/>
        </w:rPr>
      </w:pPr>
      <w:r>
        <w:rPr>
          <w:rFonts w:hint="eastAsia" w:ascii="黑体" w:hAnsi="宋体" w:eastAsia="黑体"/>
          <w:sz w:val="32"/>
          <w:szCs w:val="32"/>
        </w:rPr>
        <w:t>四、项目绩效情况</w:t>
      </w:r>
      <w:r>
        <w:rPr>
          <w:rFonts w:ascii="仿宋_GB2312" w:hAnsi="宋体" w:eastAsia="仿宋_GB2312"/>
          <w:sz w:val="32"/>
          <w:szCs w:val="32"/>
          <w:lang w:val="zh-CN"/>
        </w:rPr>
        <w:tab/>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pPr>
        <w:autoSpaceDE w:val="0"/>
        <w:autoSpaceDN w:val="0"/>
        <w:adjustRightInd w:val="0"/>
        <w:spacing w:line="600" w:lineRule="exact"/>
        <w:ind w:firstLine="640" w:firstLineChars="200"/>
        <w:jc w:val="left"/>
        <w:rPr>
          <w:rFonts w:hint="eastAsia" w:ascii="仿宋_GB2312" w:hAnsi="宋体" w:eastAsia="仿宋_GB2312"/>
          <w:sz w:val="32"/>
          <w:szCs w:val="32"/>
          <w:lang w:val="zh-CN"/>
        </w:rPr>
      </w:pPr>
      <w:r>
        <w:rPr>
          <w:rFonts w:hint="eastAsia" w:ascii="仿宋_GB2312" w:hAnsi="宋体" w:eastAsia="仿宋_GB2312"/>
          <w:sz w:val="32"/>
          <w:szCs w:val="32"/>
          <w:lang w:val="zh-CN"/>
        </w:rPr>
        <w:t>1、数量情况</w:t>
      </w:r>
    </w:p>
    <w:p>
      <w:pPr>
        <w:autoSpaceDE w:val="0"/>
        <w:autoSpaceDN w:val="0"/>
        <w:adjustRightInd w:val="0"/>
        <w:spacing w:line="600" w:lineRule="exact"/>
        <w:ind w:firstLine="640" w:firstLineChars="200"/>
        <w:jc w:val="left"/>
        <w:rPr>
          <w:rFonts w:hint="eastAsia" w:ascii="仿宋_GB2312" w:hAnsi="宋体" w:eastAsia="仿宋_GB2312"/>
          <w:sz w:val="32"/>
          <w:szCs w:val="32"/>
          <w:lang w:val="zh-CN"/>
        </w:rPr>
      </w:pPr>
      <w:r>
        <w:rPr>
          <w:rFonts w:hint="eastAsia" w:ascii="仿宋_GB2312" w:hAnsi="宋体" w:eastAsia="仿宋_GB2312"/>
          <w:sz w:val="32"/>
          <w:szCs w:val="32"/>
          <w:lang w:val="zh-CN"/>
        </w:rPr>
        <w:t>2020年预算计划数量指标6项，主要（1）饮水深井取水工程；（2）闸门及启闭机等维修养护；（3）防汛抢险道路维修改造；（4）坝坡除草、白蚁防治；（5）工程运行用电、绿化管护等（6）防汛抗旱抢险、渠道管护经费。实际完成6项，其中防汛抢险道路维修改造未实施，计划下一步纳入胜利水库除险加固实施。根据实际情况，增加了抽水设施改造、消防设施设备安装。</w:t>
      </w:r>
    </w:p>
    <w:p>
      <w:pPr>
        <w:autoSpaceDE w:val="0"/>
        <w:autoSpaceDN w:val="0"/>
        <w:adjustRightInd w:val="0"/>
        <w:spacing w:line="600" w:lineRule="exact"/>
        <w:ind w:firstLine="640" w:firstLineChars="200"/>
        <w:jc w:val="left"/>
        <w:rPr>
          <w:rFonts w:hint="eastAsia" w:ascii="仿宋_GB2312" w:hAnsi="宋体" w:eastAsia="仿宋_GB2312"/>
          <w:sz w:val="32"/>
          <w:szCs w:val="32"/>
          <w:lang w:val="zh-CN"/>
        </w:rPr>
      </w:pPr>
      <w:r>
        <w:rPr>
          <w:rFonts w:hint="eastAsia" w:ascii="仿宋_GB2312" w:hAnsi="宋体" w:eastAsia="仿宋_GB2312"/>
          <w:sz w:val="32"/>
          <w:szCs w:val="32"/>
          <w:lang w:val="zh-CN"/>
        </w:rPr>
        <w:t>2、质量情况</w:t>
      </w:r>
    </w:p>
    <w:p>
      <w:pPr>
        <w:autoSpaceDE w:val="0"/>
        <w:autoSpaceDN w:val="0"/>
        <w:adjustRightInd w:val="0"/>
        <w:spacing w:line="600" w:lineRule="exact"/>
        <w:ind w:firstLine="640" w:firstLineChars="200"/>
        <w:jc w:val="left"/>
        <w:rPr>
          <w:rFonts w:hint="eastAsia" w:ascii="仿宋_GB2312" w:hAnsi="宋体" w:eastAsia="仿宋_GB2312"/>
          <w:sz w:val="32"/>
          <w:szCs w:val="32"/>
          <w:lang w:val="zh-CN"/>
        </w:rPr>
      </w:pPr>
      <w:r>
        <w:rPr>
          <w:rFonts w:hint="eastAsia" w:ascii="仿宋_GB2312" w:hAnsi="宋体" w:eastAsia="仿宋_GB2312"/>
          <w:sz w:val="32"/>
          <w:szCs w:val="32"/>
          <w:lang w:val="zh-CN"/>
        </w:rPr>
        <w:t>（1）饮水深井取水工程已完成，达到饮用水标准，保障水库管理人员身体健康；（2）闸门及启闭机等维修养护已完成，保证设施、设备正常运行；（3）坝坡除草、白蚁防治已完成，消除不安全隐患，便于巡查管理；（4）工程运行用电、绿化管护等已完成，保证安全用电，保护环境，防止水土流失；（5）防汛物资储备、演练、渠道管护已完成，保障水库汛期安全运行；（6）抽水设施改造、消防设施设备安装已完成。综上，项目基本按照计划的绩效指标实施并完成，完成质量较好。</w:t>
      </w:r>
    </w:p>
    <w:p>
      <w:pPr>
        <w:autoSpaceDE w:val="0"/>
        <w:autoSpaceDN w:val="0"/>
        <w:adjustRightInd w:val="0"/>
        <w:spacing w:line="600" w:lineRule="exact"/>
        <w:ind w:firstLine="640" w:firstLineChars="200"/>
        <w:jc w:val="left"/>
        <w:rPr>
          <w:rFonts w:hint="eastAsia" w:ascii="仿宋_GB2312" w:hAnsi="宋体" w:eastAsia="仿宋_GB2312"/>
          <w:sz w:val="32"/>
          <w:szCs w:val="32"/>
          <w:lang w:val="zh-CN"/>
        </w:rPr>
      </w:pPr>
      <w:r>
        <w:rPr>
          <w:rFonts w:hint="eastAsia" w:ascii="仿宋_GB2312" w:hAnsi="宋体" w:eastAsia="仿宋_GB2312"/>
          <w:sz w:val="32"/>
          <w:szCs w:val="32"/>
          <w:lang w:val="zh-CN"/>
        </w:rPr>
        <w:t>3、时效情况</w:t>
      </w:r>
    </w:p>
    <w:p>
      <w:pPr>
        <w:autoSpaceDE w:val="0"/>
        <w:autoSpaceDN w:val="0"/>
        <w:adjustRightInd w:val="0"/>
        <w:spacing w:line="600" w:lineRule="exact"/>
        <w:ind w:firstLine="640" w:firstLineChars="200"/>
        <w:jc w:val="left"/>
        <w:rPr>
          <w:rFonts w:hint="eastAsia" w:ascii="仿宋_GB2312" w:hAnsi="宋体" w:eastAsia="仿宋_GB2312"/>
          <w:sz w:val="32"/>
          <w:szCs w:val="32"/>
          <w:lang w:val="zh-CN"/>
        </w:rPr>
      </w:pPr>
      <w:r>
        <w:rPr>
          <w:rFonts w:hint="eastAsia" w:ascii="仿宋_GB2312" w:hAnsi="宋体" w:eastAsia="仿宋_GB2312"/>
          <w:sz w:val="32"/>
          <w:szCs w:val="32"/>
          <w:lang w:val="zh-CN"/>
        </w:rPr>
        <w:t>截止2020年12月底，项目全部完成，完成率100%。</w:t>
      </w:r>
    </w:p>
    <w:p>
      <w:pPr>
        <w:autoSpaceDE w:val="0"/>
        <w:autoSpaceDN w:val="0"/>
        <w:adjustRightInd w:val="0"/>
        <w:spacing w:line="600" w:lineRule="exact"/>
        <w:ind w:firstLine="640" w:firstLineChars="200"/>
        <w:jc w:val="left"/>
        <w:rPr>
          <w:rFonts w:hint="eastAsia" w:ascii="仿宋_GB2312" w:hAnsi="宋体" w:eastAsia="仿宋_GB2312"/>
          <w:sz w:val="32"/>
          <w:szCs w:val="32"/>
          <w:lang w:val="zh-CN"/>
        </w:rPr>
      </w:pPr>
      <w:r>
        <w:rPr>
          <w:rFonts w:hint="eastAsia" w:ascii="仿宋_GB2312" w:hAnsi="宋体" w:eastAsia="仿宋_GB2312"/>
          <w:sz w:val="32"/>
          <w:szCs w:val="32"/>
          <w:lang w:val="zh-CN"/>
        </w:rPr>
        <w:t>4、成本情况</w:t>
      </w:r>
    </w:p>
    <w:p>
      <w:pPr>
        <w:autoSpaceDE w:val="0"/>
        <w:autoSpaceDN w:val="0"/>
        <w:adjustRightInd w:val="0"/>
        <w:spacing w:line="600" w:lineRule="exact"/>
        <w:ind w:firstLine="640" w:firstLineChars="200"/>
        <w:jc w:val="left"/>
        <w:rPr>
          <w:rFonts w:hint="eastAsia" w:ascii="仿宋_GB2312" w:hAnsi="宋体" w:eastAsia="仿宋_GB2312"/>
          <w:sz w:val="32"/>
          <w:szCs w:val="32"/>
          <w:lang w:val="zh-CN"/>
        </w:rPr>
      </w:pPr>
      <w:r>
        <w:rPr>
          <w:rFonts w:hint="eastAsia" w:ascii="仿宋_GB2312" w:hAnsi="宋体" w:eastAsia="仿宋_GB2312"/>
          <w:sz w:val="32"/>
          <w:szCs w:val="32"/>
          <w:lang w:val="zh-CN"/>
        </w:rPr>
        <w:t>截止2020年12月底，项目资金实际到位80万元，实际使用80万元，项目的预期设定目标及资金使用均控制在预算范围内。</w:t>
      </w:r>
    </w:p>
    <w:p>
      <w:pPr>
        <w:adjustRightInd w:val="0"/>
        <w:snapToGrid w:val="0"/>
        <w:spacing w:line="600" w:lineRule="exact"/>
        <w:ind w:firstLine="321" w:firstLineChars="100"/>
        <w:rPr>
          <w:rFonts w:ascii="楷体_GB2312" w:hAnsi="宋体" w:eastAsia="楷体_GB2312"/>
          <w:b/>
          <w:sz w:val="32"/>
          <w:szCs w:val="32"/>
          <w:lang w:val="zh-CN"/>
        </w:rPr>
      </w:pPr>
      <w:r>
        <w:rPr>
          <w:rFonts w:hint="eastAsia" w:ascii="楷体_GB2312" w:hAnsi="宋体" w:eastAsia="楷体_GB2312"/>
          <w:b/>
          <w:sz w:val="32"/>
          <w:szCs w:val="32"/>
          <w:lang w:val="zh-CN"/>
        </w:rPr>
        <w:t>（二）项目效益情况。</w:t>
      </w:r>
    </w:p>
    <w:p>
      <w:pPr>
        <w:autoSpaceDE w:val="0"/>
        <w:autoSpaceDN w:val="0"/>
        <w:adjustRightInd w:val="0"/>
        <w:spacing w:line="600" w:lineRule="exact"/>
        <w:ind w:firstLine="640" w:firstLineChars="200"/>
        <w:jc w:val="left"/>
        <w:rPr>
          <w:rFonts w:hint="eastAsia" w:ascii="仿宋_GB2312" w:hAnsi="宋体" w:eastAsia="仿宋_GB2312"/>
          <w:sz w:val="32"/>
          <w:szCs w:val="32"/>
          <w:lang w:val="zh-CN"/>
        </w:rPr>
      </w:pPr>
      <w:r>
        <w:rPr>
          <w:rFonts w:hint="eastAsia" w:ascii="仿宋_GB2312" w:hAnsi="宋体" w:eastAsia="仿宋_GB2312"/>
          <w:sz w:val="32"/>
          <w:szCs w:val="32"/>
          <w:lang w:val="zh-CN"/>
        </w:rPr>
        <w:t>1、项目实施的社会效益分析</w:t>
      </w:r>
    </w:p>
    <w:p>
      <w:pPr>
        <w:autoSpaceDE w:val="0"/>
        <w:autoSpaceDN w:val="0"/>
        <w:adjustRightInd w:val="0"/>
        <w:spacing w:line="600" w:lineRule="exact"/>
        <w:ind w:firstLine="640" w:firstLineChars="200"/>
        <w:jc w:val="left"/>
        <w:rPr>
          <w:rFonts w:hint="eastAsia" w:ascii="仿宋_GB2312" w:hAnsi="宋体" w:eastAsia="仿宋_GB2312"/>
          <w:sz w:val="32"/>
          <w:szCs w:val="32"/>
          <w:lang w:val="zh-CN"/>
        </w:rPr>
      </w:pPr>
      <w:r>
        <w:rPr>
          <w:rFonts w:hint="eastAsia" w:ascii="仿宋_GB2312" w:hAnsi="宋体" w:eastAsia="仿宋_GB2312"/>
          <w:sz w:val="32"/>
          <w:szCs w:val="32"/>
          <w:lang w:val="zh-CN"/>
        </w:rPr>
        <w:t>2020年完成了胜利水库和沙坝田两座水库枢纽工程及渠道的维修养护，确保水库水利工程安全、保护饮用水源、提高水质、促进社会稳定。</w:t>
      </w:r>
    </w:p>
    <w:p>
      <w:pPr>
        <w:autoSpaceDE w:val="0"/>
        <w:autoSpaceDN w:val="0"/>
        <w:adjustRightInd w:val="0"/>
        <w:spacing w:line="600" w:lineRule="exact"/>
        <w:ind w:firstLine="640" w:firstLineChars="200"/>
        <w:jc w:val="left"/>
        <w:rPr>
          <w:rFonts w:hint="eastAsia" w:ascii="仿宋_GB2312" w:hAnsi="宋体" w:eastAsia="仿宋_GB2312"/>
          <w:sz w:val="32"/>
          <w:szCs w:val="32"/>
          <w:lang w:val="zh-CN"/>
        </w:rPr>
      </w:pPr>
      <w:r>
        <w:rPr>
          <w:rFonts w:hint="eastAsia" w:ascii="仿宋_GB2312" w:hAnsi="宋体" w:eastAsia="仿宋_GB2312"/>
          <w:sz w:val="32"/>
          <w:szCs w:val="32"/>
          <w:lang w:val="zh-CN"/>
        </w:rPr>
        <w:t>2、满意度指标完成情况分析</w:t>
      </w:r>
    </w:p>
    <w:p>
      <w:pPr>
        <w:autoSpaceDE w:val="0"/>
        <w:autoSpaceDN w:val="0"/>
        <w:adjustRightInd w:val="0"/>
        <w:spacing w:line="600" w:lineRule="exact"/>
        <w:ind w:firstLine="640" w:firstLineChars="200"/>
        <w:jc w:val="left"/>
        <w:rPr>
          <w:rFonts w:hint="eastAsia" w:ascii="仿宋_GB2312" w:hAnsi="宋体" w:eastAsia="仿宋_GB2312"/>
          <w:sz w:val="32"/>
          <w:szCs w:val="32"/>
          <w:lang w:val="zh-CN"/>
        </w:rPr>
      </w:pPr>
      <w:r>
        <w:rPr>
          <w:rFonts w:hint="eastAsia" w:ascii="仿宋_GB2312" w:hAnsi="宋体" w:eastAsia="仿宋_GB2312"/>
          <w:sz w:val="32"/>
          <w:szCs w:val="32"/>
          <w:lang w:val="zh-CN"/>
        </w:rPr>
        <w:t>对项目区发放了20分满意度调查问卷，回收20份调查问卷，满意度99%。</w:t>
      </w:r>
    </w:p>
    <w:p>
      <w:pPr>
        <w:adjustRightInd w:val="0"/>
        <w:snapToGrid w:val="0"/>
        <w:spacing w:line="600" w:lineRule="exact"/>
        <w:ind w:firstLine="720"/>
        <w:rPr>
          <w:rFonts w:ascii="黑体" w:hAnsi="宋体" w:eastAsia="黑体"/>
          <w:sz w:val="32"/>
          <w:szCs w:val="32"/>
        </w:rPr>
      </w:pPr>
      <w:r>
        <w:rPr>
          <w:rFonts w:hint="eastAsia" w:ascii="黑体" w:hAnsi="宋体" w:eastAsia="黑体"/>
          <w:sz w:val="32"/>
          <w:szCs w:val="32"/>
        </w:rPr>
        <w:t>五、评价结论及建议</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（一）评价结论。</w:t>
      </w:r>
    </w:p>
    <w:p>
      <w:pPr>
        <w:autoSpaceDE w:val="0"/>
        <w:autoSpaceDN w:val="0"/>
        <w:adjustRightInd w:val="0"/>
        <w:spacing w:line="600" w:lineRule="exact"/>
        <w:ind w:firstLine="640" w:firstLineChars="200"/>
        <w:jc w:val="left"/>
        <w:rPr>
          <w:rFonts w:hint="eastAsia" w:ascii="仿宋_GB2312" w:hAnsi="宋体" w:eastAsia="仿宋_GB2312"/>
          <w:sz w:val="32"/>
          <w:szCs w:val="32"/>
          <w:lang w:val="zh-CN"/>
        </w:rPr>
      </w:pPr>
      <w:r>
        <w:rPr>
          <w:rFonts w:hint="eastAsia" w:ascii="仿宋_GB2312" w:hAnsi="宋体" w:eastAsia="仿宋_GB2312"/>
          <w:sz w:val="32"/>
          <w:szCs w:val="32"/>
          <w:lang w:val="zh-CN"/>
        </w:rPr>
        <w:t>根据对项目绩效评价指标体系各项指标的分析，综合认为，2020年在主管部门的指导下，中心领导亲自挂帅监督项目实施推进，科室负责人负责落实项目各项措施，岗位责任人各司其职，按程序有序推进，较好的完成了维修养护项目实施，达到了预期目标。</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（二）存在的问题。</w:t>
      </w:r>
    </w:p>
    <w:p>
      <w:pPr>
        <w:autoSpaceDE w:val="0"/>
        <w:autoSpaceDN w:val="0"/>
        <w:adjustRightInd w:val="0"/>
        <w:spacing w:line="600" w:lineRule="exact"/>
        <w:ind w:firstLine="640" w:firstLineChars="200"/>
        <w:jc w:val="left"/>
        <w:rPr>
          <w:rFonts w:hint="eastAsia" w:ascii="仿宋_GB2312" w:hAnsi="宋体" w:eastAsia="仿宋_GB2312"/>
          <w:sz w:val="32"/>
          <w:szCs w:val="32"/>
          <w:lang w:val="zh-CN"/>
        </w:rPr>
      </w:pPr>
      <w:r>
        <w:rPr>
          <w:rFonts w:hint="eastAsia" w:ascii="仿宋_GB2312" w:hAnsi="宋体" w:eastAsia="仿宋_GB2312"/>
          <w:sz w:val="32"/>
          <w:szCs w:val="32"/>
          <w:lang w:val="zh-CN"/>
        </w:rPr>
        <w:t>维修养护具有不确定性，只能在需要维修养护的项目中挑选最紧迫、最必要的项目进行维修。因此，实施的项目和年初申报的维修养护项目有一定的差异。</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（三）相关建议。</w:t>
      </w:r>
    </w:p>
    <w:p>
      <w:pPr>
        <w:autoSpaceDE w:val="0"/>
        <w:autoSpaceDN w:val="0"/>
        <w:adjustRightInd w:val="0"/>
        <w:spacing w:line="600" w:lineRule="exact"/>
        <w:ind w:firstLine="640" w:firstLineChars="200"/>
        <w:jc w:val="left"/>
        <w:rPr>
          <w:rFonts w:ascii="仿宋_GB2312" w:hAnsi="宋体" w:eastAsia="仿宋_GB2312"/>
          <w:sz w:val="32"/>
          <w:szCs w:val="32"/>
          <w:lang w:val="zh-CN"/>
        </w:rPr>
      </w:pPr>
      <w:r>
        <w:rPr>
          <w:rFonts w:hint="eastAsia" w:ascii="仿宋_GB2312" w:hAnsi="宋体" w:eastAsia="仿宋_GB2312"/>
          <w:sz w:val="32"/>
          <w:szCs w:val="32"/>
          <w:lang w:val="zh-CN"/>
        </w:rPr>
        <w:t>下一步，我中心将更加细致地做好调查研究，对将要实施的项目做出科学预判，尽可能地保证项目建设不偏离绩效目标。</w:t>
      </w:r>
    </w:p>
    <w:p>
      <w:pPr>
        <w:spacing w:line="600" w:lineRule="exact"/>
        <w:jc w:val="center"/>
        <w:rPr>
          <w:rFonts w:ascii="仿宋_GB2312" w:hAnsi="仿宋_GB2312" w:eastAsia="仿宋_GB2312" w:cs="仿宋_GB2312"/>
          <w:sz w:val="32"/>
          <w:szCs w:val="32"/>
        </w:rPr>
      </w:pPr>
    </w:p>
    <w:p>
      <w:pPr>
        <w:spacing w:line="600" w:lineRule="exact"/>
        <w:jc w:val="center"/>
        <w:rPr>
          <w:rFonts w:hint="eastAsia" w:ascii="方正小标宋简体" w:hAnsi="宋体" w:eastAsia="方正小标宋简体"/>
          <w:color w:val="000000"/>
          <w:kern w:val="0"/>
          <w:sz w:val="44"/>
          <w:szCs w:val="44"/>
        </w:rPr>
      </w:pPr>
    </w:p>
    <w:p>
      <w:pPr>
        <w:spacing w:line="600" w:lineRule="exact"/>
        <w:jc w:val="center"/>
        <w:rPr>
          <w:rFonts w:hint="eastAsia" w:ascii="方正小标宋简体" w:hAnsi="宋体" w:eastAsia="方正小标宋简体"/>
          <w:color w:val="000000"/>
          <w:kern w:val="0"/>
          <w:sz w:val="44"/>
          <w:szCs w:val="44"/>
        </w:rPr>
      </w:pPr>
    </w:p>
    <w:p>
      <w:pPr>
        <w:spacing w:line="600" w:lineRule="exact"/>
        <w:jc w:val="center"/>
        <w:rPr>
          <w:rFonts w:hint="eastAsia" w:ascii="方正小标宋简体" w:hAnsi="宋体" w:eastAsia="方正小标宋简体"/>
          <w:color w:val="000000"/>
          <w:kern w:val="0"/>
          <w:sz w:val="44"/>
          <w:szCs w:val="44"/>
        </w:rPr>
      </w:pPr>
    </w:p>
    <w:p>
      <w:pPr>
        <w:spacing w:line="600" w:lineRule="exact"/>
        <w:jc w:val="center"/>
        <w:rPr>
          <w:rFonts w:hint="eastAsia" w:ascii="方正小标宋简体" w:hAnsi="宋体" w:eastAsia="方正小标宋简体"/>
          <w:color w:val="000000"/>
          <w:kern w:val="0"/>
          <w:sz w:val="44"/>
          <w:szCs w:val="44"/>
        </w:rPr>
      </w:pPr>
    </w:p>
    <w:p>
      <w:pPr>
        <w:spacing w:line="600" w:lineRule="exact"/>
        <w:jc w:val="center"/>
        <w:rPr>
          <w:rFonts w:hint="eastAsia" w:ascii="方正小标宋简体" w:hAnsi="宋体" w:eastAsia="方正小标宋简体"/>
          <w:color w:val="000000"/>
          <w:kern w:val="0"/>
          <w:sz w:val="44"/>
          <w:szCs w:val="44"/>
        </w:rPr>
      </w:pPr>
    </w:p>
    <w:p>
      <w:pPr>
        <w:spacing w:line="600" w:lineRule="exact"/>
        <w:jc w:val="center"/>
        <w:rPr>
          <w:rFonts w:hint="eastAsia" w:ascii="方正小标宋简体" w:hAnsi="宋体" w:eastAsia="方正小标宋简体"/>
          <w:color w:val="000000"/>
          <w:kern w:val="0"/>
          <w:sz w:val="44"/>
          <w:szCs w:val="44"/>
        </w:rPr>
      </w:pPr>
    </w:p>
    <w:p>
      <w:pPr>
        <w:spacing w:line="600" w:lineRule="exact"/>
        <w:jc w:val="center"/>
        <w:rPr>
          <w:rFonts w:hint="eastAsia" w:ascii="方正小标宋简体" w:hAnsi="宋体" w:eastAsia="方正小标宋简体"/>
          <w:color w:val="000000"/>
          <w:kern w:val="0"/>
          <w:sz w:val="44"/>
          <w:szCs w:val="44"/>
        </w:rPr>
      </w:pPr>
      <w:r>
        <w:rPr>
          <w:rFonts w:hint="eastAsia" w:ascii="方正小标宋简体" w:hAnsi="宋体" w:eastAsia="方正小标宋简体"/>
          <w:color w:val="000000"/>
          <w:kern w:val="0"/>
          <w:sz w:val="44"/>
          <w:szCs w:val="44"/>
        </w:rPr>
        <w:t>攀枝花市胜利水利工程运行中心</w:t>
      </w:r>
    </w:p>
    <w:p>
      <w:pPr>
        <w:spacing w:line="600" w:lineRule="exact"/>
        <w:jc w:val="center"/>
        <w:rPr>
          <w:rFonts w:ascii="方正小标宋简体" w:hAnsi="宋体" w:eastAsia="方正小标宋简体"/>
          <w:color w:val="000000"/>
          <w:kern w:val="0"/>
          <w:sz w:val="44"/>
          <w:szCs w:val="44"/>
          <w:lang w:val="zh-CN"/>
        </w:rPr>
      </w:pPr>
      <w:r>
        <w:rPr>
          <w:rFonts w:hint="eastAsia" w:ascii="方正小标宋简体" w:hAnsi="宋体" w:eastAsia="方正小标宋简体"/>
          <w:color w:val="000000"/>
          <w:kern w:val="0"/>
          <w:sz w:val="44"/>
          <w:szCs w:val="44"/>
        </w:rPr>
        <w:t>运行管理经费</w:t>
      </w:r>
      <w:r>
        <w:rPr>
          <w:rFonts w:ascii="方正小标宋简体" w:hAnsi="宋体" w:eastAsia="方正小标宋简体"/>
          <w:color w:val="000000"/>
          <w:kern w:val="0"/>
          <w:sz w:val="44"/>
          <w:szCs w:val="44"/>
        </w:rPr>
        <w:t>2020</w:t>
      </w:r>
      <w:r>
        <w:rPr>
          <w:rFonts w:hint="eastAsia" w:ascii="方正小标宋简体" w:hAnsi="宋体" w:eastAsia="方正小标宋简体"/>
          <w:color w:val="000000"/>
          <w:kern w:val="0"/>
          <w:sz w:val="44"/>
          <w:szCs w:val="44"/>
        </w:rPr>
        <w:t>年</w:t>
      </w:r>
      <w:r>
        <w:rPr>
          <w:rFonts w:hint="eastAsia" w:ascii="方正小标宋简体" w:hAnsi="宋体" w:eastAsia="方正小标宋简体"/>
          <w:color w:val="000000"/>
          <w:kern w:val="0"/>
          <w:sz w:val="44"/>
          <w:szCs w:val="44"/>
          <w:lang w:val="zh-CN"/>
        </w:rPr>
        <w:t>绩效评价报告</w:t>
      </w:r>
    </w:p>
    <w:p>
      <w:pPr>
        <w:autoSpaceDE w:val="0"/>
        <w:autoSpaceDN w:val="0"/>
        <w:adjustRightInd w:val="0"/>
        <w:spacing w:line="600" w:lineRule="exact"/>
        <w:ind w:firstLine="880" w:firstLineChars="200"/>
        <w:jc w:val="left"/>
        <w:rPr>
          <w:rFonts w:eastAsia="黑体"/>
          <w:kern w:val="0"/>
          <w:sz w:val="32"/>
          <w:szCs w:val="32"/>
        </w:rPr>
      </w:pPr>
      <w:r>
        <w:rPr>
          <w:rFonts w:hint="eastAsia" w:ascii="方正小标宋简体" w:hAnsi="宋体" w:eastAsia="方正小标宋简体"/>
          <w:color w:val="000000"/>
          <w:kern w:val="0"/>
          <w:sz w:val="44"/>
          <w:szCs w:val="44"/>
        </w:rPr>
        <w:t xml:space="preserve"> </w:t>
      </w:r>
      <w:r>
        <w:rPr>
          <w:rFonts w:eastAsia="黑体"/>
          <w:kern w:val="0"/>
          <w:sz w:val="32"/>
          <w:szCs w:val="32"/>
        </w:rPr>
        <w:t>一、项目概况</w:t>
      </w:r>
    </w:p>
    <w:p>
      <w:pPr>
        <w:autoSpaceDE w:val="0"/>
        <w:autoSpaceDN w:val="0"/>
        <w:adjustRightInd w:val="0"/>
        <w:spacing w:line="600" w:lineRule="exact"/>
        <w:ind w:firstLine="640" w:firstLineChars="200"/>
        <w:jc w:val="left"/>
        <w:rPr>
          <w:rFonts w:hint="eastAsia" w:eastAsia="楷体_GB2312"/>
          <w:kern w:val="0"/>
          <w:sz w:val="32"/>
          <w:szCs w:val="32"/>
        </w:rPr>
      </w:pPr>
      <w:r>
        <w:rPr>
          <w:rFonts w:eastAsia="楷体_GB2312"/>
          <w:kern w:val="0"/>
          <w:sz w:val="32"/>
          <w:szCs w:val="32"/>
        </w:rPr>
        <w:t>（一）项目基本情况。</w:t>
      </w:r>
    </w:p>
    <w:p>
      <w:pPr>
        <w:spacing w:line="600" w:lineRule="exact"/>
        <w:ind w:firstLine="645"/>
        <w:rPr>
          <w:rFonts w:eastAsia="仿宋_GB2312"/>
          <w:sz w:val="32"/>
          <w:szCs w:val="32"/>
          <w:shd w:val="clear" w:color="auto" w:fill="FFFFFF"/>
        </w:rPr>
      </w:pPr>
      <w:r>
        <w:rPr>
          <w:rFonts w:eastAsia="仿宋_GB2312"/>
          <w:sz w:val="32"/>
          <w:szCs w:val="32"/>
          <w:shd w:val="clear" w:color="auto" w:fill="FFFFFF"/>
        </w:rPr>
        <w:t>根据《中共攀枝花市委机构编制委员会关于攀枝花市胜利水库管理所更名的批复（攀编发〔2019〕87号）》明确的主要职责和《攀枝花市胜利水利工程运行中心职能职责及内设机构职能职责》、《中共攀枝花市委机构编制委员会关于调整市水务局所属事业单位有关机构编制事项的通知（攀编发〔2016〕8号）》精神，</w:t>
      </w:r>
      <w:r>
        <w:rPr>
          <w:rFonts w:hint="eastAsia" w:eastAsia="仿宋_GB2312"/>
          <w:sz w:val="32"/>
          <w:szCs w:val="32"/>
          <w:shd w:val="clear" w:color="auto" w:fill="FFFFFF"/>
        </w:rPr>
        <w:t>明确</w:t>
      </w:r>
      <w:r>
        <w:rPr>
          <w:rFonts w:eastAsia="仿宋_GB2312"/>
          <w:sz w:val="32"/>
          <w:szCs w:val="32"/>
          <w:shd w:val="clear" w:color="auto" w:fill="FFFFFF"/>
        </w:rPr>
        <w:t>我单位为财政全额拨款公益二类事业单位，事业编制31名。</w:t>
      </w:r>
      <w:r>
        <w:rPr>
          <w:rFonts w:hint="eastAsia" w:eastAsia="仿宋_GB2312"/>
          <w:sz w:val="32"/>
          <w:szCs w:val="32"/>
          <w:shd w:val="clear" w:color="auto" w:fill="FFFFFF"/>
        </w:rPr>
        <w:t>现在职职工30名，退休职工3名。</w:t>
      </w:r>
      <w:r>
        <w:rPr>
          <w:rFonts w:eastAsia="仿宋_GB2312"/>
          <w:sz w:val="32"/>
          <w:szCs w:val="32"/>
          <w:shd w:val="clear" w:color="auto" w:fill="FFFFFF"/>
        </w:rPr>
        <w:t>为保证机构正常运</w:t>
      </w:r>
      <w:r>
        <w:rPr>
          <w:rFonts w:hint="eastAsia" w:eastAsia="仿宋_GB2312"/>
          <w:sz w:val="32"/>
          <w:szCs w:val="32"/>
          <w:shd w:val="clear" w:color="auto" w:fill="FFFFFF"/>
        </w:rPr>
        <w:t>转</w:t>
      </w:r>
      <w:r>
        <w:rPr>
          <w:rFonts w:eastAsia="仿宋_GB2312"/>
          <w:sz w:val="32"/>
          <w:szCs w:val="32"/>
          <w:shd w:val="clear" w:color="auto" w:fill="FFFFFF"/>
        </w:rPr>
        <w:t>，</w:t>
      </w:r>
      <w:r>
        <w:rPr>
          <w:rFonts w:hint="eastAsia" w:eastAsia="仿宋_GB2312"/>
          <w:sz w:val="32"/>
          <w:szCs w:val="32"/>
          <w:shd w:val="clear" w:color="auto" w:fill="FFFFFF"/>
        </w:rPr>
        <w:t xml:space="preserve">发挥水管单位公益职能，促进经济社会发展，实施以下项目，本项目实施地位于市胜利水利工程运行中心（仁和区仁和镇、大田镇、啊喇乡）。 </w:t>
      </w:r>
    </w:p>
    <w:p>
      <w:pPr>
        <w:autoSpaceDE w:val="0"/>
        <w:autoSpaceDN w:val="0"/>
        <w:adjustRightInd w:val="0"/>
        <w:spacing w:line="600" w:lineRule="exact"/>
        <w:ind w:firstLine="320" w:firstLineChars="100"/>
        <w:jc w:val="left"/>
        <w:rPr>
          <w:rFonts w:eastAsia="仿宋_GB2312"/>
          <w:kern w:val="0"/>
          <w:sz w:val="32"/>
          <w:szCs w:val="32"/>
        </w:rPr>
      </w:pPr>
      <w:r>
        <w:rPr>
          <w:rFonts w:eastAsia="楷体_GB2312"/>
          <w:kern w:val="0"/>
          <w:sz w:val="32"/>
          <w:szCs w:val="32"/>
        </w:rPr>
        <w:t>（二）项目绩效目标。</w:t>
      </w:r>
    </w:p>
    <w:p>
      <w:pPr>
        <w:autoSpaceDE w:val="0"/>
        <w:autoSpaceDN w:val="0"/>
        <w:adjustRightInd w:val="0"/>
        <w:spacing w:line="600" w:lineRule="exact"/>
        <w:ind w:firstLine="640" w:firstLineChars="200"/>
        <w:jc w:val="left"/>
        <w:rPr>
          <w:rFonts w:eastAsia="仿宋_GB2312"/>
          <w:kern w:val="0"/>
          <w:sz w:val="32"/>
          <w:szCs w:val="32"/>
        </w:rPr>
      </w:pPr>
      <w:r>
        <w:rPr>
          <w:rFonts w:eastAsia="仿宋_GB2312"/>
          <w:kern w:val="0"/>
          <w:sz w:val="32"/>
          <w:szCs w:val="32"/>
        </w:rPr>
        <w:t>1．项目主要内容。</w:t>
      </w:r>
      <w:r>
        <w:rPr>
          <w:rFonts w:hint="eastAsia" w:eastAsia="仿宋_GB2312"/>
          <w:sz w:val="32"/>
          <w:szCs w:val="32"/>
          <w:shd w:val="clear" w:color="auto" w:fill="FFFFFF"/>
        </w:rPr>
        <w:t>实施办公楼维修维护、购置了办公家具、支付三条光纤租赁及网络通讯费用、监控网络设备及办公设备运行及维护费、防汛演练、业务培训 、防汛值班工作、两座水库的值班楼及跃进水库管理房的零星维修维护、浪渣清捞清运、安全环保及水环境综合治理的广告宣传等项目</w:t>
      </w:r>
    </w:p>
    <w:p>
      <w:pPr>
        <w:spacing w:line="600" w:lineRule="exact"/>
        <w:ind w:firstLine="480" w:firstLineChars="150"/>
        <w:rPr>
          <w:rFonts w:hint="eastAsia" w:eastAsia="仿宋_GB2312"/>
          <w:sz w:val="32"/>
          <w:szCs w:val="32"/>
          <w:shd w:val="clear" w:color="auto" w:fill="FFFFFF"/>
        </w:rPr>
      </w:pPr>
      <w:r>
        <w:rPr>
          <w:rFonts w:eastAsia="仿宋_GB2312"/>
          <w:kern w:val="0"/>
          <w:sz w:val="32"/>
          <w:szCs w:val="32"/>
        </w:rPr>
        <w:t>2．项目应实现的具体绩效目标</w:t>
      </w:r>
      <w:r>
        <w:rPr>
          <w:rFonts w:hint="eastAsia" w:eastAsia="仿宋_GB2312"/>
          <w:kern w:val="0"/>
          <w:sz w:val="32"/>
          <w:szCs w:val="32"/>
        </w:rPr>
        <w:t>：</w:t>
      </w:r>
      <w:r>
        <w:rPr>
          <w:rFonts w:hint="eastAsia" w:eastAsia="仿宋_GB2312"/>
          <w:sz w:val="32"/>
          <w:szCs w:val="32"/>
          <w:shd w:val="clear" w:color="auto" w:fill="FFFFFF"/>
        </w:rPr>
        <w:t>保障中心整体工作正常运转、保障水库工程安全运行。保障下游群众生命财产安全。充分发挥水库工程综合效益。</w:t>
      </w:r>
    </w:p>
    <w:p>
      <w:pPr>
        <w:spacing w:line="600" w:lineRule="exact"/>
        <w:ind w:firstLine="645"/>
        <w:rPr>
          <w:rFonts w:hint="eastAsia" w:eastAsia="仿宋_GB2312"/>
          <w:sz w:val="32"/>
          <w:szCs w:val="32"/>
          <w:shd w:val="clear" w:color="auto" w:fill="FFFFFF"/>
        </w:rPr>
      </w:pPr>
      <w:r>
        <w:rPr>
          <w:rFonts w:hint="eastAsia" w:eastAsia="仿宋_GB2312"/>
          <w:sz w:val="32"/>
          <w:szCs w:val="32"/>
          <w:shd w:val="clear" w:color="auto" w:fill="FFFFFF"/>
        </w:rPr>
        <w:t xml:space="preserve"> 通过以上项目实施，正常履行我单位职能职责，贯彻落实上级部门各项工作要求，确保水库平稳运行、安全度汛，实现灌区农民增收、经济社会稳定，力争建设成为全市水库标准化管理的行业标杆。</w:t>
      </w:r>
    </w:p>
    <w:p>
      <w:pPr>
        <w:autoSpaceDE w:val="0"/>
        <w:autoSpaceDN w:val="0"/>
        <w:adjustRightInd w:val="0"/>
        <w:spacing w:line="600" w:lineRule="exact"/>
        <w:ind w:firstLine="480" w:firstLineChars="150"/>
        <w:jc w:val="left"/>
        <w:rPr>
          <w:rFonts w:eastAsia="仿宋_GB2312"/>
          <w:kern w:val="0"/>
          <w:sz w:val="32"/>
          <w:szCs w:val="32"/>
        </w:rPr>
      </w:pPr>
      <w:r>
        <w:rPr>
          <w:rFonts w:eastAsia="仿宋_GB2312"/>
          <w:kern w:val="0"/>
          <w:sz w:val="32"/>
          <w:szCs w:val="32"/>
        </w:rPr>
        <w:t>3．</w:t>
      </w:r>
      <w:r>
        <w:rPr>
          <w:rFonts w:hint="eastAsia" w:eastAsia="仿宋_GB2312"/>
          <w:kern w:val="0"/>
          <w:sz w:val="32"/>
          <w:szCs w:val="32"/>
        </w:rPr>
        <w:t xml:space="preserve">项目实际使用和申报内容一致。 </w:t>
      </w:r>
    </w:p>
    <w:p>
      <w:pPr>
        <w:autoSpaceDE w:val="0"/>
        <w:autoSpaceDN w:val="0"/>
        <w:adjustRightInd w:val="0"/>
        <w:spacing w:line="600" w:lineRule="exact"/>
        <w:ind w:firstLine="640" w:firstLineChars="200"/>
        <w:jc w:val="left"/>
        <w:rPr>
          <w:rFonts w:eastAsia="楷体_GB2312"/>
          <w:kern w:val="0"/>
          <w:sz w:val="32"/>
          <w:szCs w:val="32"/>
        </w:rPr>
      </w:pPr>
      <w:r>
        <w:rPr>
          <w:rFonts w:eastAsia="黑体"/>
          <w:kern w:val="0"/>
          <w:sz w:val="32"/>
          <w:szCs w:val="32"/>
        </w:rPr>
        <w:t>二、项目资金申报及使用情况</w:t>
      </w:r>
    </w:p>
    <w:p>
      <w:pPr>
        <w:autoSpaceDE w:val="0"/>
        <w:autoSpaceDN w:val="0"/>
        <w:adjustRightInd w:val="0"/>
        <w:spacing w:line="600" w:lineRule="exact"/>
        <w:ind w:firstLine="640" w:firstLineChars="200"/>
        <w:jc w:val="left"/>
        <w:rPr>
          <w:rFonts w:eastAsia="楷体_GB2312"/>
          <w:kern w:val="0"/>
          <w:sz w:val="32"/>
          <w:szCs w:val="32"/>
        </w:rPr>
      </w:pPr>
      <w:r>
        <w:rPr>
          <w:rFonts w:eastAsia="楷体_GB2312"/>
          <w:kern w:val="0"/>
          <w:sz w:val="32"/>
          <w:szCs w:val="32"/>
        </w:rPr>
        <w:t>（一）项目资金申报及批复情况。</w:t>
      </w:r>
    </w:p>
    <w:p>
      <w:pPr>
        <w:autoSpaceDE w:val="0"/>
        <w:autoSpaceDN w:val="0"/>
        <w:adjustRightInd w:val="0"/>
        <w:spacing w:line="600" w:lineRule="exact"/>
        <w:ind w:firstLine="640" w:firstLineChars="200"/>
        <w:jc w:val="left"/>
        <w:rPr>
          <w:rFonts w:eastAsia="仿宋_GB2312"/>
          <w:kern w:val="0"/>
          <w:sz w:val="32"/>
          <w:szCs w:val="32"/>
        </w:rPr>
      </w:pPr>
      <w:r>
        <w:rPr>
          <w:rFonts w:hint="eastAsia" w:eastAsia="仿宋_GB2312"/>
          <w:kern w:val="0"/>
          <w:sz w:val="32"/>
          <w:szCs w:val="32"/>
        </w:rPr>
        <w:t xml:space="preserve">根据攀财资预[2021]1号文，该项目年初预算批复为60万。 </w:t>
      </w:r>
    </w:p>
    <w:p>
      <w:pPr>
        <w:autoSpaceDE w:val="0"/>
        <w:autoSpaceDN w:val="0"/>
        <w:adjustRightInd w:val="0"/>
        <w:spacing w:line="600" w:lineRule="exact"/>
        <w:ind w:firstLine="640" w:firstLineChars="200"/>
        <w:jc w:val="left"/>
        <w:rPr>
          <w:rFonts w:eastAsia="楷体_GB2312"/>
          <w:kern w:val="0"/>
          <w:sz w:val="32"/>
          <w:szCs w:val="32"/>
        </w:rPr>
      </w:pPr>
      <w:r>
        <w:rPr>
          <w:rFonts w:eastAsia="楷体_GB2312"/>
          <w:kern w:val="0"/>
          <w:sz w:val="32"/>
          <w:szCs w:val="32"/>
        </w:rPr>
        <w:t>（二）</w:t>
      </w:r>
      <w:r>
        <w:rPr>
          <w:rFonts w:hint="eastAsia" w:eastAsia="楷体_GB2312"/>
          <w:kern w:val="0"/>
          <w:sz w:val="32"/>
          <w:szCs w:val="32"/>
        </w:rPr>
        <w:t xml:space="preserve"> 资金</w:t>
      </w:r>
      <w:r>
        <w:rPr>
          <w:rFonts w:eastAsia="楷体_GB2312"/>
          <w:kern w:val="0"/>
          <w:sz w:val="32"/>
          <w:szCs w:val="32"/>
        </w:rPr>
        <w:t>使用情况</w:t>
      </w:r>
      <w:r>
        <w:rPr>
          <w:rFonts w:hint="eastAsia" w:eastAsia="楷体_GB2312"/>
          <w:kern w:val="0"/>
          <w:sz w:val="32"/>
          <w:szCs w:val="32"/>
        </w:rPr>
        <w:t xml:space="preserve"> </w:t>
      </w:r>
      <w:r>
        <w:rPr>
          <w:rFonts w:eastAsia="楷体_GB2312"/>
          <w:kern w:val="0"/>
          <w:sz w:val="32"/>
          <w:szCs w:val="32"/>
        </w:rPr>
        <w:t>。</w:t>
      </w:r>
    </w:p>
    <w:p>
      <w:pPr>
        <w:autoSpaceDE w:val="0"/>
        <w:autoSpaceDN w:val="0"/>
        <w:adjustRightInd w:val="0"/>
        <w:spacing w:line="600" w:lineRule="exact"/>
        <w:ind w:firstLine="640" w:firstLineChars="200"/>
        <w:jc w:val="left"/>
        <w:rPr>
          <w:rFonts w:eastAsia="楷体_GB2312"/>
          <w:kern w:val="0"/>
          <w:sz w:val="32"/>
          <w:szCs w:val="32"/>
        </w:rPr>
      </w:pPr>
      <w:r>
        <w:rPr>
          <w:rFonts w:eastAsia="楷体_GB2312"/>
          <w:kern w:val="0"/>
          <w:sz w:val="32"/>
          <w:szCs w:val="32"/>
        </w:rPr>
        <w:t>1．资金计划。</w:t>
      </w:r>
    </w:p>
    <w:p>
      <w:pPr>
        <w:autoSpaceDE w:val="0"/>
        <w:autoSpaceDN w:val="0"/>
        <w:adjustRightInd w:val="0"/>
        <w:spacing w:line="600" w:lineRule="exact"/>
        <w:ind w:firstLine="640" w:firstLineChars="200"/>
        <w:jc w:val="left"/>
        <w:rPr>
          <w:rFonts w:eastAsia="仿宋_GB2312"/>
          <w:kern w:val="0"/>
          <w:sz w:val="32"/>
          <w:szCs w:val="32"/>
        </w:rPr>
      </w:pPr>
      <w:r>
        <w:rPr>
          <w:rFonts w:hint="eastAsia" w:eastAsia="仿宋_GB2312"/>
          <w:kern w:val="0"/>
          <w:sz w:val="32"/>
          <w:szCs w:val="32"/>
        </w:rPr>
        <w:t>攀枝花市胜利水利工程运行中心运行管理费资金计划60万元，均为攀枝花市财政资金。</w:t>
      </w:r>
    </w:p>
    <w:p>
      <w:pPr>
        <w:autoSpaceDE w:val="0"/>
        <w:autoSpaceDN w:val="0"/>
        <w:adjustRightInd w:val="0"/>
        <w:spacing w:line="600" w:lineRule="exact"/>
        <w:ind w:firstLine="640" w:firstLineChars="200"/>
        <w:jc w:val="left"/>
        <w:rPr>
          <w:rFonts w:eastAsia="楷体_GB2312"/>
          <w:kern w:val="0"/>
          <w:sz w:val="32"/>
          <w:szCs w:val="32"/>
        </w:rPr>
      </w:pPr>
      <w:r>
        <w:rPr>
          <w:rFonts w:eastAsia="楷体_GB2312"/>
          <w:kern w:val="0"/>
          <w:sz w:val="32"/>
          <w:szCs w:val="32"/>
        </w:rPr>
        <w:t>2．资金到位。</w:t>
      </w:r>
    </w:p>
    <w:p>
      <w:pPr>
        <w:autoSpaceDE w:val="0"/>
        <w:autoSpaceDN w:val="0"/>
        <w:adjustRightInd w:val="0"/>
        <w:spacing w:line="600" w:lineRule="exact"/>
        <w:ind w:firstLine="640" w:firstLineChars="200"/>
        <w:jc w:val="left"/>
        <w:rPr>
          <w:rFonts w:hint="eastAsia" w:eastAsia="楷体_GB2312"/>
          <w:kern w:val="0"/>
          <w:sz w:val="32"/>
          <w:szCs w:val="32"/>
        </w:rPr>
      </w:pPr>
      <w:r>
        <w:rPr>
          <w:rFonts w:hint="eastAsia" w:eastAsia="楷体_GB2312"/>
          <w:kern w:val="0"/>
          <w:sz w:val="32"/>
          <w:szCs w:val="32"/>
        </w:rPr>
        <w:t>根据《</w:t>
      </w:r>
      <w:r>
        <w:rPr>
          <w:rFonts w:eastAsia="楷体_GB2312"/>
          <w:kern w:val="0"/>
          <w:sz w:val="32"/>
          <w:szCs w:val="32"/>
        </w:rPr>
        <w:t>攀枝花市财政局 关于 2020 年市级部门预算的批复</w:t>
      </w:r>
      <w:r>
        <w:rPr>
          <w:rFonts w:hint="eastAsia" w:eastAsia="楷体_GB2312"/>
          <w:kern w:val="0"/>
          <w:sz w:val="32"/>
          <w:szCs w:val="32"/>
        </w:rPr>
        <w:t>》（攀财资预[2020]3号文），市财政下达我中心运行管理经费为60万元，截止</w:t>
      </w:r>
      <w:r>
        <w:rPr>
          <w:rFonts w:eastAsia="楷体_GB2312"/>
          <w:kern w:val="0"/>
          <w:sz w:val="32"/>
          <w:szCs w:val="32"/>
        </w:rPr>
        <w:t>评价时</w:t>
      </w:r>
      <w:r>
        <w:rPr>
          <w:rFonts w:hint="eastAsia" w:eastAsia="楷体_GB2312"/>
          <w:kern w:val="0"/>
          <w:sz w:val="32"/>
          <w:szCs w:val="32"/>
        </w:rPr>
        <w:t xml:space="preserve">维修养护经费实际到位60万元，资金到位率100% 。 </w:t>
      </w:r>
    </w:p>
    <w:p>
      <w:pPr>
        <w:autoSpaceDE w:val="0"/>
        <w:autoSpaceDN w:val="0"/>
        <w:adjustRightInd w:val="0"/>
        <w:spacing w:line="600" w:lineRule="exact"/>
        <w:ind w:firstLine="640" w:firstLineChars="200"/>
        <w:jc w:val="left"/>
        <w:rPr>
          <w:rFonts w:eastAsia="楷体_GB2312"/>
          <w:kern w:val="0"/>
          <w:sz w:val="32"/>
          <w:szCs w:val="32"/>
        </w:rPr>
      </w:pPr>
      <w:r>
        <w:rPr>
          <w:rFonts w:eastAsia="楷体_GB2312"/>
          <w:kern w:val="0"/>
          <w:sz w:val="32"/>
          <w:szCs w:val="32"/>
        </w:rPr>
        <w:t>3．资金使用。</w:t>
      </w:r>
    </w:p>
    <w:p>
      <w:pPr>
        <w:autoSpaceDE w:val="0"/>
        <w:autoSpaceDN w:val="0"/>
        <w:adjustRightInd w:val="0"/>
        <w:spacing w:line="600" w:lineRule="exact"/>
        <w:ind w:firstLine="640" w:firstLineChars="200"/>
        <w:jc w:val="left"/>
        <w:rPr>
          <w:rFonts w:hint="eastAsia" w:eastAsia="楷体_GB2312"/>
          <w:kern w:val="0"/>
          <w:sz w:val="32"/>
          <w:szCs w:val="32"/>
        </w:rPr>
      </w:pPr>
      <w:r>
        <w:rPr>
          <w:rFonts w:eastAsia="楷体_GB2312"/>
          <w:kern w:val="0"/>
          <w:sz w:val="32"/>
          <w:szCs w:val="32"/>
        </w:rPr>
        <w:t>统计截止评价时点</w:t>
      </w:r>
      <w:r>
        <w:rPr>
          <w:rFonts w:hint="eastAsia" w:eastAsia="楷体_GB2312"/>
          <w:kern w:val="0"/>
          <w:sz w:val="32"/>
          <w:szCs w:val="32"/>
        </w:rPr>
        <w:t>维修养护经费实际使用为60万元，资金使用率100%。</w:t>
      </w:r>
    </w:p>
    <w:p>
      <w:pPr>
        <w:autoSpaceDE w:val="0"/>
        <w:autoSpaceDN w:val="0"/>
        <w:adjustRightInd w:val="0"/>
        <w:spacing w:line="600" w:lineRule="exact"/>
        <w:ind w:firstLine="320" w:firstLineChars="100"/>
        <w:jc w:val="left"/>
        <w:rPr>
          <w:rFonts w:eastAsia="仿宋_GB2312"/>
          <w:kern w:val="0"/>
          <w:sz w:val="32"/>
          <w:szCs w:val="32"/>
        </w:rPr>
      </w:pPr>
      <w:r>
        <w:rPr>
          <w:rFonts w:eastAsia="楷体_GB2312"/>
          <w:kern w:val="0"/>
          <w:sz w:val="32"/>
          <w:szCs w:val="32"/>
        </w:rPr>
        <w:t>（三）项目财务管理情况。</w:t>
      </w:r>
    </w:p>
    <w:p>
      <w:pPr>
        <w:autoSpaceDE w:val="0"/>
        <w:autoSpaceDN w:val="0"/>
        <w:adjustRightInd w:val="0"/>
        <w:spacing w:line="600" w:lineRule="exact"/>
        <w:ind w:firstLine="640" w:firstLineChars="200"/>
        <w:jc w:val="left"/>
        <w:rPr>
          <w:rFonts w:eastAsia="仿宋_GB2312"/>
          <w:kern w:val="0"/>
          <w:sz w:val="32"/>
          <w:szCs w:val="32"/>
        </w:rPr>
      </w:pPr>
      <w:r>
        <w:rPr>
          <w:rFonts w:hint="eastAsia" w:eastAsia="仿宋_GB2312"/>
          <w:kern w:val="0"/>
          <w:sz w:val="32"/>
          <w:szCs w:val="32"/>
        </w:rPr>
        <w:t>我中心</w:t>
      </w:r>
      <w:r>
        <w:rPr>
          <w:rFonts w:eastAsia="仿宋_GB2312"/>
          <w:kern w:val="0"/>
          <w:sz w:val="32"/>
          <w:szCs w:val="32"/>
        </w:rPr>
        <w:t>财务管理制度健全，</w:t>
      </w:r>
      <w:r>
        <w:rPr>
          <w:rFonts w:hint="eastAsia" w:eastAsia="仿宋_GB2312"/>
          <w:kern w:val="0"/>
          <w:sz w:val="32"/>
          <w:szCs w:val="32"/>
        </w:rPr>
        <w:t xml:space="preserve"> 财务人员</w:t>
      </w:r>
      <w:r>
        <w:rPr>
          <w:rFonts w:eastAsia="仿宋_GB2312"/>
          <w:kern w:val="0"/>
          <w:sz w:val="32"/>
          <w:szCs w:val="32"/>
        </w:rPr>
        <w:t>严格</w:t>
      </w:r>
      <w:r>
        <w:rPr>
          <w:rFonts w:hint="eastAsia" w:eastAsia="仿宋_GB2312"/>
          <w:kern w:val="0"/>
          <w:sz w:val="32"/>
          <w:szCs w:val="32"/>
        </w:rPr>
        <w:t>按照</w:t>
      </w:r>
      <w:r>
        <w:rPr>
          <w:rFonts w:eastAsia="仿宋_GB2312"/>
          <w:kern w:val="0"/>
          <w:sz w:val="32"/>
          <w:szCs w:val="32"/>
        </w:rPr>
        <w:t>财务管理制度</w:t>
      </w:r>
      <w:r>
        <w:rPr>
          <w:rFonts w:hint="eastAsia" w:eastAsia="仿宋_GB2312"/>
          <w:kern w:val="0"/>
          <w:sz w:val="32"/>
          <w:szCs w:val="32"/>
        </w:rPr>
        <w:t>执行</w:t>
      </w:r>
      <w:r>
        <w:rPr>
          <w:rFonts w:eastAsia="仿宋_GB2312"/>
          <w:kern w:val="0"/>
          <w:sz w:val="32"/>
          <w:szCs w:val="32"/>
        </w:rPr>
        <w:t>，</w:t>
      </w:r>
      <w:r>
        <w:rPr>
          <w:rFonts w:hint="eastAsia" w:eastAsia="仿宋_GB2312"/>
          <w:kern w:val="0"/>
          <w:sz w:val="32"/>
          <w:szCs w:val="32"/>
        </w:rPr>
        <w:t xml:space="preserve">并严格按照会计制度进行核算， </w:t>
      </w:r>
      <w:r>
        <w:rPr>
          <w:rFonts w:eastAsia="仿宋_GB2312"/>
          <w:kern w:val="0"/>
          <w:sz w:val="32"/>
          <w:szCs w:val="32"/>
        </w:rPr>
        <w:t>账务</w:t>
      </w:r>
      <w:r>
        <w:rPr>
          <w:rFonts w:hint="eastAsia" w:eastAsia="仿宋_GB2312"/>
          <w:kern w:val="0"/>
          <w:sz w:val="32"/>
          <w:szCs w:val="32"/>
        </w:rPr>
        <w:t>处理及时</w:t>
      </w:r>
      <w:r>
        <w:rPr>
          <w:rFonts w:eastAsia="仿宋_GB2312"/>
          <w:kern w:val="0"/>
          <w:sz w:val="32"/>
          <w:szCs w:val="32"/>
        </w:rPr>
        <w:t>。</w:t>
      </w:r>
    </w:p>
    <w:p>
      <w:pPr>
        <w:autoSpaceDE w:val="0"/>
        <w:autoSpaceDN w:val="0"/>
        <w:adjustRightInd w:val="0"/>
        <w:spacing w:line="600" w:lineRule="exact"/>
        <w:ind w:firstLine="640" w:firstLineChars="200"/>
        <w:jc w:val="left"/>
        <w:rPr>
          <w:rFonts w:eastAsia="仿宋_GB2312"/>
          <w:kern w:val="0"/>
          <w:sz w:val="32"/>
          <w:szCs w:val="32"/>
        </w:rPr>
      </w:pPr>
      <w:r>
        <w:rPr>
          <w:rFonts w:hint="eastAsia" w:eastAsia="仿宋_GB2312"/>
          <w:kern w:val="0"/>
          <w:sz w:val="32"/>
          <w:szCs w:val="32"/>
        </w:rPr>
        <w:t xml:space="preserve"> </w:t>
      </w:r>
      <w:r>
        <w:rPr>
          <w:rFonts w:hint="eastAsia" w:eastAsia="黑体"/>
          <w:kern w:val="0"/>
          <w:sz w:val="32"/>
          <w:szCs w:val="32"/>
        </w:rPr>
        <w:t>三</w:t>
      </w:r>
      <w:r>
        <w:rPr>
          <w:rFonts w:eastAsia="黑体"/>
          <w:kern w:val="0"/>
          <w:sz w:val="32"/>
          <w:szCs w:val="32"/>
        </w:rPr>
        <w:t>、项目绩效情况</w:t>
      </w:r>
    </w:p>
    <w:p>
      <w:pPr>
        <w:autoSpaceDE w:val="0"/>
        <w:autoSpaceDN w:val="0"/>
        <w:adjustRightInd w:val="0"/>
        <w:spacing w:line="600" w:lineRule="exact"/>
        <w:ind w:firstLine="640" w:firstLineChars="200"/>
        <w:jc w:val="left"/>
        <w:rPr>
          <w:rFonts w:eastAsia="楷体_GB2312"/>
          <w:kern w:val="0"/>
          <w:sz w:val="32"/>
          <w:szCs w:val="32"/>
        </w:rPr>
      </w:pPr>
      <w:r>
        <w:rPr>
          <w:rFonts w:eastAsia="楷体_GB2312"/>
          <w:kern w:val="0"/>
          <w:sz w:val="32"/>
          <w:szCs w:val="32"/>
        </w:rPr>
        <w:t>（一）项目完成情况。</w:t>
      </w:r>
    </w:p>
    <w:p>
      <w:pPr>
        <w:spacing w:line="600" w:lineRule="exact"/>
        <w:ind w:firstLine="645"/>
        <w:rPr>
          <w:rFonts w:hint="eastAsia" w:eastAsia="仿宋_GB2312"/>
          <w:sz w:val="32"/>
          <w:szCs w:val="32"/>
          <w:shd w:val="clear" w:color="auto" w:fill="FFFFFF"/>
        </w:rPr>
      </w:pPr>
      <w:r>
        <w:rPr>
          <w:rFonts w:hint="eastAsia" w:eastAsia="仿宋_GB2312"/>
          <w:kern w:val="0"/>
          <w:sz w:val="32"/>
          <w:szCs w:val="32"/>
        </w:rPr>
        <w:t>（1）数量情况：我中心 2020年</w:t>
      </w:r>
      <w:r>
        <w:rPr>
          <w:rFonts w:hint="eastAsia" w:eastAsia="仿宋_GB2312"/>
          <w:sz w:val="32"/>
          <w:szCs w:val="32"/>
          <w:shd w:val="clear" w:color="auto" w:fill="FFFFFF"/>
        </w:rPr>
        <w:t>完成仁和办公区办公楼、胜利水库值班楼、沙坝田水库值班房的维修维护，购置办公家具、三条光纤租赁及网络通讯、完成对监控网络设备及办公设备的运行维护、完成防汛演练两次、业务培训及防汛值班工作、完成渠道的日常管护、跃进水库管理房的看护、及浪渣清理清运工作。</w:t>
      </w:r>
    </w:p>
    <w:p>
      <w:pPr>
        <w:spacing w:line="600" w:lineRule="exact"/>
        <w:ind w:firstLine="645"/>
        <w:rPr>
          <w:rFonts w:hint="eastAsia" w:eastAsia="仿宋_GB2312"/>
          <w:sz w:val="32"/>
          <w:szCs w:val="32"/>
          <w:shd w:val="clear" w:color="auto" w:fill="FFFFFF"/>
        </w:rPr>
      </w:pPr>
      <w:r>
        <w:rPr>
          <w:rFonts w:hint="eastAsia" w:eastAsia="仿宋_GB2312"/>
          <w:sz w:val="32"/>
          <w:szCs w:val="32"/>
          <w:shd w:val="clear" w:color="auto" w:fill="FFFFFF"/>
        </w:rPr>
        <w:t>（2） 质量情况：工程及设备的维修维护质量合格、技能培训合格、值班值守在岗率100%；水质标准达到Ⅲ类及以上。</w:t>
      </w:r>
    </w:p>
    <w:p>
      <w:pPr>
        <w:spacing w:line="600" w:lineRule="exact"/>
        <w:ind w:firstLine="640" w:firstLineChars="200"/>
        <w:rPr>
          <w:rFonts w:hint="eastAsia" w:eastAsia="仿宋_GB2312"/>
          <w:sz w:val="32"/>
          <w:szCs w:val="32"/>
          <w:shd w:val="clear" w:color="auto" w:fill="FFFFFF"/>
        </w:rPr>
      </w:pPr>
      <w:r>
        <w:rPr>
          <w:rFonts w:hint="eastAsia" w:eastAsia="仿宋_GB2312"/>
          <w:sz w:val="32"/>
          <w:szCs w:val="32"/>
          <w:shd w:val="clear" w:color="auto" w:fill="FFFFFF"/>
        </w:rPr>
        <w:t>（3） 时效情况：截至2020年12月底，完成运行管理费各项目的实施。</w:t>
      </w:r>
    </w:p>
    <w:p>
      <w:pPr>
        <w:autoSpaceDE w:val="0"/>
        <w:autoSpaceDN w:val="0"/>
        <w:adjustRightInd w:val="0"/>
        <w:spacing w:line="600" w:lineRule="exact"/>
        <w:ind w:firstLine="480" w:firstLineChars="150"/>
        <w:jc w:val="left"/>
        <w:rPr>
          <w:rFonts w:eastAsia="楷体_GB2312"/>
          <w:kern w:val="0"/>
          <w:sz w:val="32"/>
          <w:szCs w:val="32"/>
        </w:rPr>
      </w:pPr>
      <w:r>
        <w:rPr>
          <w:rFonts w:eastAsia="楷体_GB2312"/>
          <w:kern w:val="0"/>
          <w:sz w:val="32"/>
          <w:szCs w:val="32"/>
        </w:rPr>
        <w:t>（二）项目效益情况。</w:t>
      </w:r>
    </w:p>
    <w:p>
      <w:pPr>
        <w:spacing w:line="600" w:lineRule="exact"/>
        <w:ind w:firstLine="640" w:firstLineChars="200"/>
        <w:rPr>
          <w:rFonts w:hint="eastAsia" w:eastAsia="仿宋_GB2312"/>
          <w:sz w:val="32"/>
          <w:szCs w:val="32"/>
          <w:shd w:val="clear" w:color="auto" w:fill="FFFFFF"/>
        </w:rPr>
      </w:pPr>
      <w:r>
        <w:rPr>
          <w:rFonts w:hint="eastAsia" w:eastAsia="仿宋_GB2312"/>
          <w:sz w:val="32"/>
          <w:szCs w:val="32"/>
          <w:shd w:val="clear" w:color="auto" w:fill="FFFFFF"/>
        </w:rPr>
        <w:t>（1）经济效益 ：完成非税收入177.15万</w:t>
      </w:r>
    </w:p>
    <w:p>
      <w:pPr>
        <w:spacing w:line="600" w:lineRule="exact"/>
        <w:ind w:firstLine="645"/>
        <w:rPr>
          <w:rFonts w:hint="eastAsia" w:eastAsia="仿宋_GB2312"/>
          <w:sz w:val="32"/>
          <w:szCs w:val="32"/>
          <w:shd w:val="clear" w:color="auto" w:fill="FFFFFF"/>
        </w:rPr>
      </w:pPr>
      <w:r>
        <w:rPr>
          <w:rFonts w:hint="eastAsia" w:eastAsia="仿宋_GB2312"/>
          <w:sz w:val="32"/>
          <w:szCs w:val="32"/>
          <w:shd w:val="clear" w:color="auto" w:fill="FFFFFF"/>
        </w:rPr>
        <w:t>（2）社会效益 ：保障用水、保证水库安全运行、解决仁和灌区群众生产生活用水、保障人饮安全 。</w:t>
      </w:r>
    </w:p>
    <w:p>
      <w:pPr>
        <w:spacing w:line="600" w:lineRule="exact"/>
        <w:ind w:firstLine="645"/>
        <w:rPr>
          <w:rFonts w:hint="eastAsia" w:eastAsia="仿宋_GB2312"/>
          <w:sz w:val="32"/>
          <w:szCs w:val="32"/>
          <w:shd w:val="clear" w:color="auto" w:fill="FFFFFF"/>
        </w:rPr>
      </w:pPr>
      <w:r>
        <w:rPr>
          <w:rFonts w:hint="eastAsia" w:eastAsia="仿宋_GB2312"/>
          <w:sz w:val="32"/>
          <w:szCs w:val="32"/>
          <w:shd w:val="clear" w:color="auto" w:fill="FFFFFF"/>
        </w:rPr>
        <w:t>（3）生态效益 ：水质达标，提供水库下游河流生态流量，保障森林防灭火需水。</w:t>
      </w:r>
    </w:p>
    <w:p>
      <w:pPr>
        <w:spacing w:line="600" w:lineRule="exact"/>
        <w:ind w:firstLine="960" w:firstLineChars="300"/>
        <w:rPr>
          <w:rFonts w:hint="eastAsia" w:eastAsia="仿宋_GB2312"/>
          <w:sz w:val="32"/>
          <w:szCs w:val="32"/>
          <w:shd w:val="clear" w:color="auto" w:fill="FFFFFF"/>
        </w:rPr>
      </w:pPr>
      <w:r>
        <w:rPr>
          <w:rFonts w:hint="eastAsia" w:eastAsia="仿宋_GB2312"/>
          <w:sz w:val="32"/>
          <w:szCs w:val="32"/>
          <w:shd w:val="clear" w:color="auto" w:fill="FFFFFF"/>
        </w:rPr>
        <w:t>服务对象满意度 ：群众满意度≥95%</w:t>
      </w:r>
    </w:p>
    <w:p>
      <w:pPr>
        <w:autoSpaceDE w:val="0"/>
        <w:autoSpaceDN w:val="0"/>
        <w:adjustRightInd w:val="0"/>
        <w:spacing w:line="600" w:lineRule="exact"/>
        <w:ind w:firstLine="800" w:firstLineChars="250"/>
        <w:jc w:val="left"/>
        <w:rPr>
          <w:rFonts w:eastAsia="仿宋_GB2312"/>
          <w:kern w:val="0"/>
          <w:sz w:val="32"/>
          <w:szCs w:val="32"/>
        </w:rPr>
      </w:pPr>
      <w:r>
        <w:rPr>
          <w:rFonts w:hint="eastAsia" w:eastAsia="仿宋_GB2312"/>
          <w:kern w:val="0"/>
          <w:sz w:val="32"/>
          <w:szCs w:val="32"/>
        </w:rPr>
        <w:t xml:space="preserve"> </w:t>
      </w:r>
      <w:r>
        <w:rPr>
          <w:rFonts w:eastAsia="黑体"/>
          <w:kern w:val="0"/>
          <w:sz w:val="32"/>
          <w:szCs w:val="32"/>
        </w:rPr>
        <w:t>五、评价结论及建议</w:t>
      </w:r>
    </w:p>
    <w:p>
      <w:pPr>
        <w:autoSpaceDE w:val="0"/>
        <w:autoSpaceDN w:val="0"/>
        <w:adjustRightInd w:val="0"/>
        <w:spacing w:line="600" w:lineRule="exact"/>
        <w:ind w:firstLine="640" w:firstLineChars="200"/>
        <w:jc w:val="left"/>
        <w:rPr>
          <w:rFonts w:eastAsia="楷体_GB2312"/>
          <w:kern w:val="0"/>
          <w:sz w:val="32"/>
          <w:szCs w:val="32"/>
        </w:rPr>
      </w:pPr>
      <w:r>
        <w:rPr>
          <w:rFonts w:eastAsia="楷体_GB2312"/>
          <w:kern w:val="0"/>
          <w:sz w:val="32"/>
          <w:szCs w:val="32"/>
        </w:rPr>
        <w:t>（一）评价结论。</w:t>
      </w:r>
    </w:p>
    <w:p>
      <w:pPr>
        <w:autoSpaceDE w:val="0"/>
        <w:autoSpaceDN w:val="0"/>
        <w:adjustRightInd w:val="0"/>
        <w:spacing w:line="600" w:lineRule="exact"/>
        <w:ind w:firstLine="640" w:firstLineChars="200"/>
        <w:jc w:val="left"/>
        <w:rPr>
          <w:rFonts w:eastAsia="仿宋_GB2312"/>
          <w:kern w:val="0"/>
          <w:sz w:val="32"/>
          <w:szCs w:val="32"/>
        </w:rPr>
      </w:pPr>
      <w:r>
        <w:rPr>
          <w:rFonts w:hint="eastAsia" w:eastAsia="仿宋_GB2312"/>
          <w:kern w:val="0"/>
          <w:sz w:val="32"/>
          <w:szCs w:val="32"/>
        </w:rPr>
        <w:t>2020年顺利的完成了运行管理费项目的实施</w:t>
      </w:r>
      <w:r>
        <w:rPr>
          <w:rFonts w:eastAsia="仿宋_GB2312"/>
          <w:kern w:val="0"/>
          <w:sz w:val="32"/>
          <w:szCs w:val="32"/>
        </w:rPr>
        <w:t>。</w:t>
      </w:r>
      <w:r>
        <w:rPr>
          <w:rFonts w:hint="eastAsia" w:eastAsia="仿宋_GB2312"/>
          <w:kern w:val="0"/>
          <w:sz w:val="32"/>
          <w:szCs w:val="32"/>
        </w:rPr>
        <w:t>保障了本部门机构的正常运转、较好的完成日常工作任务</w:t>
      </w:r>
    </w:p>
    <w:p>
      <w:pPr>
        <w:autoSpaceDE w:val="0"/>
        <w:autoSpaceDN w:val="0"/>
        <w:adjustRightInd w:val="0"/>
        <w:spacing w:line="600" w:lineRule="exact"/>
        <w:ind w:firstLine="640" w:firstLineChars="200"/>
        <w:jc w:val="left"/>
        <w:rPr>
          <w:rFonts w:eastAsia="楷体_GB2312"/>
          <w:kern w:val="0"/>
          <w:sz w:val="32"/>
          <w:szCs w:val="32"/>
        </w:rPr>
      </w:pPr>
      <w:r>
        <w:rPr>
          <w:rFonts w:eastAsia="楷体_GB2312"/>
          <w:kern w:val="0"/>
          <w:sz w:val="32"/>
          <w:szCs w:val="32"/>
        </w:rPr>
        <w:t>（二）存在的问题</w:t>
      </w:r>
      <w:r>
        <w:rPr>
          <w:rFonts w:hint="eastAsia" w:eastAsia="楷体_GB2312"/>
          <w:kern w:val="0"/>
          <w:sz w:val="32"/>
          <w:szCs w:val="32"/>
        </w:rPr>
        <w:t>及建议</w:t>
      </w:r>
      <w:r>
        <w:rPr>
          <w:rFonts w:eastAsia="楷体_GB2312"/>
          <w:kern w:val="0"/>
          <w:sz w:val="32"/>
          <w:szCs w:val="32"/>
        </w:rPr>
        <w:t>。</w:t>
      </w:r>
    </w:p>
    <w:p>
      <w:pPr>
        <w:autoSpaceDE w:val="0"/>
        <w:autoSpaceDN w:val="0"/>
        <w:adjustRightInd w:val="0"/>
        <w:spacing w:line="600" w:lineRule="exact"/>
        <w:ind w:firstLine="960" w:firstLineChars="300"/>
        <w:jc w:val="left"/>
        <w:rPr>
          <w:rFonts w:eastAsia="仿宋_GB2312"/>
          <w:kern w:val="0"/>
          <w:sz w:val="32"/>
          <w:szCs w:val="32"/>
        </w:rPr>
      </w:pPr>
      <w:r>
        <w:rPr>
          <w:rFonts w:hint="eastAsia" w:eastAsia="仿宋_GB2312"/>
          <w:kern w:val="0"/>
          <w:sz w:val="32"/>
          <w:szCs w:val="32"/>
        </w:rPr>
        <w:t>加强预算编制，完善 各项管理制度，提高财政资金使用效益。</w:t>
      </w:r>
    </w:p>
    <w:p>
      <w:pPr>
        <w:autoSpaceDE w:val="0"/>
        <w:autoSpaceDN w:val="0"/>
        <w:adjustRightInd w:val="0"/>
        <w:spacing w:line="600" w:lineRule="exact"/>
        <w:ind w:firstLine="640" w:firstLineChars="200"/>
        <w:jc w:val="center"/>
        <w:rPr>
          <w:rFonts w:eastAsia="仿宋_GB2312"/>
          <w:kern w:val="0"/>
          <w:sz w:val="32"/>
          <w:szCs w:val="32"/>
        </w:rPr>
      </w:pPr>
    </w:p>
    <w:p>
      <w:pPr>
        <w:spacing w:line="600" w:lineRule="exact"/>
        <w:jc w:val="center"/>
        <w:rPr>
          <w:rFonts w:eastAsia="楷体_GB2312"/>
          <w:kern w:val="0"/>
          <w:sz w:val="32"/>
          <w:szCs w:val="32"/>
        </w:rPr>
      </w:pPr>
      <w:r>
        <w:rPr>
          <w:rFonts w:hint="eastAsia" w:ascii="方正小标宋简体" w:hAnsi="宋体" w:eastAsia="方正小标宋简体"/>
          <w:color w:val="000000"/>
          <w:kern w:val="0"/>
          <w:sz w:val="44"/>
          <w:szCs w:val="44"/>
        </w:rPr>
        <w:t>攀枝花市胜利水利工程运行中心沙坝田水　库除险加固项目2020年</w:t>
      </w:r>
      <w:r>
        <w:rPr>
          <w:rFonts w:hint="eastAsia" w:ascii="方正小标宋简体" w:hAnsi="宋体" w:eastAsia="方正小标宋简体"/>
          <w:color w:val="000000"/>
          <w:kern w:val="0"/>
          <w:sz w:val="44"/>
          <w:szCs w:val="44"/>
          <w:lang w:val="zh-CN"/>
        </w:rPr>
        <w:t>绩效评价报告</w:t>
      </w:r>
    </w:p>
    <w:p>
      <w:pPr>
        <w:spacing w:line="580" w:lineRule="exact"/>
        <w:ind w:firstLine="640"/>
        <w:jc w:val="center"/>
        <w:rPr>
          <w:rFonts w:ascii="仿宋_GB2312" w:hAnsi="仿宋_GB2312" w:eastAsia="仿宋_GB2312" w:cs="仿宋_GB2312"/>
          <w:sz w:val="32"/>
          <w:szCs w:val="32"/>
        </w:rPr>
      </w:pPr>
    </w:p>
    <w:p>
      <w:pPr>
        <w:autoSpaceDE w:val="0"/>
        <w:autoSpaceDN w:val="0"/>
        <w:adjustRightInd w:val="0"/>
        <w:spacing w:line="600" w:lineRule="exact"/>
        <w:ind w:firstLine="640" w:firstLineChars="200"/>
        <w:jc w:val="left"/>
        <w:rPr>
          <w:rFonts w:hint="eastAsia" w:eastAsia="楷体_GB2312"/>
          <w:kern w:val="0"/>
          <w:sz w:val="32"/>
          <w:szCs w:val="32"/>
        </w:rPr>
      </w:pPr>
      <w:r>
        <w:rPr>
          <w:rFonts w:hint="eastAsia" w:eastAsia="楷体_GB2312"/>
          <w:kern w:val="0"/>
          <w:sz w:val="32"/>
          <w:szCs w:val="32"/>
        </w:rPr>
        <w:t>一、项目基本情况</w:t>
      </w:r>
    </w:p>
    <w:p>
      <w:pPr>
        <w:autoSpaceDE w:val="0"/>
        <w:autoSpaceDN w:val="0"/>
        <w:adjustRightInd w:val="0"/>
        <w:spacing w:line="600" w:lineRule="exact"/>
        <w:ind w:firstLine="640" w:firstLineChars="200"/>
        <w:jc w:val="left"/>
        <w:rPr>
          <w:rFonts w:hint="eastAsia" w:eastAsia="楷体_GB2312"/>
          <w:kern w:val="0"/>
          <w:sz w:val="32"/>
          <w:szCs w:val="32"/>
        </w:rPr>
      </w:pPr>
      <w:r>
        <w:rPr>
          <w:rFonts w:hint="eastAsia" w:eastAsia="楷体_GB2312"/>
          <w:kern w:val="0"/>
          <w:sz w:val="32"/>
          <w:szCs w:val="32"/>
        </w:rPr>
        <w:t>(一) 项目背景</w:t>
      </w:r>
    </w:p>
    <w:p>
      <w:pPr>
        <w:autoSpaceDE w:val="0"/>
        <w:autoSpaceDN w:val="0"/>
        <w:adjustRightInd w:val="0"/>
        <w:spacing w:line="600" w:lineRule="exact"/>
        <w:ind w:firstLine="640" w:firstLineChars="200"/>
        <w:jc w:val="left"/>
        <w:rPr>
          <w:rFonts w:eastAsia="楷体_GB2312"/>
          <w:kern w:val="0"/>
          <w:sz w:val="32"/>
          <w:szCs w:val="32"/>
        </w:rPr>
      </w:pPr>
      <w:r>
        <w:rPr>
          <w:rFonts w:hint="eastAsia" w:eastAsia="楷体_GB2312"/>
          <w:kern w:val="0"/>
          <w:sz w:val="32"/>
          <w:szCs w:val="32"/>
        </w:rPr>
        <w:t>2019年12月，根据《水库大坝安全评价导则》（SL258—2017）及《水库大坝安全鉴定办法》（水建管〔2003〕271号），邯郸市水利水电勘测设计研究院完成了《</w:t>
      </w:r>
      <w:r>
        <w:rPr>
          <w:rFonts w:hint="eastAsia" w:eastAsia="楷体_GB2312"/>
          <w:kern w:val="0"/>
          <w:sz w:val="32"/>
          <w:szCs w:val="32"/>
          <w:lang w:val="en-US" w:eastAsia="zh-CN"/>
        </w:rPr>
        <w:t>攀枝花</w:t>
      </w:r>
      <w:bookmarkStart w:id="244" w:name="_GoBack"/>
      <w:bookmarkEnd w:id="244"/>
      <w:r>
        <w:rPr>
          <w:rFonts w:hint="eastAsia" w:eastAsia="楷体_GB2312"/>
          <w:kern w:val="0"/>
          <w:sz w:val="32"/>
          <w:szCs w:val="32"/>
        </w:rPr>
        <w:t>大竹河水利工程一期项目沙坝田水库安全鉴定报告》，鉴定结论沙坝田水库大坝为二类坝，需要进行除险加固。2020年3月，攀枝花市水利局下达了《沙坝田水库大坝安全鉴定报告书》。2020年5月，我中心通过公开竞选方式委托广东粤水电勘测设计有限公司编制了《攀枝花市</w:t>
      </w:r>
      <w:r>
        <w:rPr>
          <w:rFonts w:eastAsia="楷体_GB2312"/>
          <w:kern w:val="0"/>
          <w:sz w:val="32"/>
          <w:szCs w:val="32"/>
        </w:rPr>
        <w:t>大竹河水利工程一期项目沙坝田水库除险加固工程初步设计报告》。2020年6月，攀枝花市水利局以攀水函［2020］112号下达了批复，同意整治方案</w:t>
      </w:r>
      <w:r>
        <w:rPr>
          <w:rFonts w:hint="eastAsia" w:eastAsia="楷体_GB2312"/>
          <w:kern w:val="0"/>
          <w:sz w:val="32"/>
          <w:szCs w:val="32"/>
        </w:rPr>
        <w:t>。</w:t>
      </w:r>
    </w:p>
    <w:p>
      <w:pPr>
        <w:autoSpaceDE w:val="0"/>
        <w:autoSpaceDN w:val="0"/>
        <w:adjustRightInd w:val="0"/>
        <w:spacing w:line="600" w:lineRule="exact"/>
        <w:ind w:firstLine="640" w:firstLineChars="200"/>
        <w:jc w:val="left"/>
        <w:rPr>
          <w:rFonts w:eastAsia="楷体_GB2312"/>
          <w:kern w:val="0"/>
          <w:sz w:val="32"/>
          <w:szCs w:val="32"/>
        </w:rPr>
      </w:pPr>
      <w:r>
        <w:rPr>
          <w:rFonts w:eastAsia="楷体_GB2312"/>
          <w:kern w:val="0"/>
          <w:sz w:val="32"/>
          <w:szCs w:val="32"/>
        </w:rPr>
        <w:t>(二) 项目主要内容</w:t>
      </w:r>
    </w:p>
    <w:p>
      <w:pPr>
        <w:autoSpaceDE w:val="0"/>
        <w:autoSpaceDN w:val="0"/>
        <w:adjustRightInd w:val="0"/>
        <w:spacing w:line="600" w:lineRule="exact"/>
        <w:ind w:firstLine="640" w:firstLineChars="200"/>
        <w:jc w:val="left"/>
        <w:rPr>
          <w:rFonts w:eastAsia="楷体_GB2312"/>
          <w:kern w:val="0"/>
          <w:sz w:val="32"/>
          <w:szCs w:val="32"/>
        </w:rPr>
      </w:pPr>
      <w:r>
        <w:rPr>
          <w:rFonts w:hint="eastAsia" w:eastAsia="楷体_GB2312"/>
          <w:kern w:val="0"/>
          <w:sz w:val="32"/>
          <w:szCs w:val="32"/>
        </w:rPr>
        <w:t>本次</w:t>
      </w:r>
      <w:r>
        <w:rPr>
          <w:rFonts w:eastAsia="楷体_GB2312"/>
          <w:kern w:val="0"/>
          <w:sz w:val="32"/>
          <w:szCs w:val="32"/>
        </w:rPr>
        <w:t>工程主要建设内容为：对大坝渗流、渗流量、水平位移、垂直位移釆用安全自动化监测系统，在下游坝坡检测墩设置纵向钢结构巡检通道155m；后边坡勾缝、清理后边坡杂草；更换老沙坝田坝顶1592.4m至1624.5m的止水带；整治大坝防浪墙；对溢洪道、冲砂涵洞、放水涵洞启闭钢绳打油，对启闭机进行除锈除尘维护，对启闭机层地板进行防滑处理250m2，增设</w:t>
      </w:r>
      <w:r>
        <w:rPr>
          <w:rFonts w:hint="eastAsia" w:eastAsia="楷体_GB2312"/>
          <w:kern w:val="0"/>
          <w:sz w:val="32"/>
          <w:szCs w:val="32"/>
        </w:rPr>
        <w:t>5</w:t>
      </w:r>
      <w:r>
        <w:rPr>
          <w:rFonts w:eastAsia="楷体_GB2312"/>
          <w:kern w:val="0"/>
          <w:sz w:val="32"/>
          <w:szCs w:val="32"/>
        </w:rPr>
        <w:t>0kw自动（带手动）启闭系统的柴油发电机组；整治3.5m宽防汛抢险道路350m；增设石刻水库名称标识；库尾设置浮筒式拦污绳；对量水堰两岸进行防渗处理，四周增设挡水墙，避免雨水进入量水堰渠道。</w:t>
      </w:r>
    </w:p>
    <w:p>
      <w:pPr>
        <w:autoSpaceDE w:val="0"/>
        <w:autoSpaceDN w:val="0"/>
        <w:adjustRightInd w:val="0"/>
        <w:spacing w:line="600" w:lineRule="exact"/>
        <w:ind w:firstLine="640" w:firstLineChars="200"/>
        <w:jc w:val="left"/>
        <w:rPr>
          <w:rFonts w:eastAsia="楷体_GB2312"/>
          <w:kern w:val="0"/>
          <w:sz w:val="32"/>
          <w:szCs w:val="32"/>
        </w:rPr>
      </w:pPr>
      <w:r>
        <w:rPr>
          <w:rFonts w:eastAsia="楷体_GB2312"/>
          <w:kern w:val="0"/>
          <w:sz w:val="32"/>
          <w:szCs w:val="32"/>
        </w:rPr>
        <w:t>二、项目实施</w:t>
      </w:r>
    </w:p>
    <w:p>
      <w:pPr>
        <w:autoSpaceDE w:val="0"/>
        <w:autoSpaceDN w:val="0"/>
        <w:adjustRightInd w:val="0"/>
        <w:spacing w:line="600" w:lineRule="exact"/>
        <w:ind w:firstLine="640" w:firstLineChars="200"/>
        <w:jc w:val="left"/>
        <w:rPr>
          <w:rFonts w:eastAsia="楷体_GB2312"/>
          <w:kern w:val="0"/>
          <w:sz w:val="32"/>
          <w:szCs w:val="32"/>
        </w:rPr>
      </w:pPr>
      <w:r>
        <w:rPr>
          <w:rFonts w:eastAsia="楷体_GB2312"/>
          <w:kern w:val="0"/>
          <w:sz w:val="32"/>
          <w:szCs w:val="32"/>
        </w:rPr>
        <w:t>2020年6月，攀枝花市水利局以攀水函〔2020〕112号文下达批复总投资253.12万元</w:t>
      </w:r>
      <w:r>
        <w:rPr>
          <w:rFonts w:hint="eastAsia" w:eastAsia="楷体_GB2312"/>
          <w:kern w:val="0"/>
          <w:sz w:val="32"/>
          <w:szCs w:val="32"/>
        </w:rPr>
        <w:t>，</w:t>
      </w:r>
      <w:r>
        <w:rPr>
          <w:rFonts w:eastAsia="楷体_GB2312"/>
          <w:kern w:val="0"/>
          <w:sz w:val="32"/>
          <w:szCs w:val="32"/>
        </w:rPr>
        <w:t>资金来源为中央和省级财政水利发展资金。2020年1月，攀枝花市财政局、攀枝花市水利局《关于下达2020年中央和省级财政水利发展资金预算的通知》攀财农资〔2020〕2号，下达2020年中央和省级财政水利发展资金225万元</w:t>
      </w:r>
      <w:r>
        <w:rPr>
          <w:rFonts w:hint="eastAsia" w:eastAsia="楷体_GB2312"/>
          <w:kern w:val="0"/>
          <w:sz w:val="32"/>
          <w:szCs w:val="32"/>
        </w:rPr>
        <w:t>。</w:t>
      </w:r>
    </w:p>
    <w:p>
      <w:pPr>
        <w:autoSpaceDE w:val="0"/>
        <w:autoSpaceDN w:val="0"/>
        <w:adjustRightInd w:val="0"/>
        <w:spacing w:line="600" w:lineRule="exact"/>
        <w:ind w:firstLine="640" w:firstLineChars="200"/>
        <w:jc w:val="left"/>
        <w:rPr>
          <w:rFonts w:eastAsia="楷体_GB2312"/>
          <w:kern w:val="0"/>
          <w:sz w:val="32"/>
          <w:szCs w:val="32"/>
        </w:rPr>
      </w:pPr>
      <w:r>
        <w:rPr>
          <w:rFonts w:hint="eastAsia" w:eastAsia="楷体_GB2312"/>
          <w:kern w:val="0"/>
          <w:sz w:val="32"/>
          <w:szCs w:val="32"/>
        </w:rPr>
        <w:t>项目于2020年8月23日开工，2020年12月22日主体工程完工，2021年1月8日通过合同工程完工验收，2021年3月底完成蓄水验收，按照规定计划于2021年底完成竣工验收。</w:t>
      </w:r>
    </w:p>
    <w:p>
      <w:pPr>
        <w:autoSpaceDE w:val="0"/>
        <w:autoSpaceDN w:val="0"/>
        <w:adjustRightInd w:val="0"/>
        <w:spacing w:line="600" w:lineRule="exact"/>
        <w:ind w:firstLine="640" w:firstLineChars="200"/>
        <w:jc w:val="left"/>
        <w:rPr>
          <w:rFonts w:eastAsia="楷体_GB2312"/>
          <w:kern w:val="0"/>
          <w:sz w:val="32"/>
          <w:szCs w:val="32"/>
        </w:rPr>
      </w:pPr>
      <w:r>
        <w:rPr>
          <w:rFonts w:eastAsia="楷体_GB2312"/>
          <w:kern w:val="0"/>
          <w:sz w:val="32"/>
          <w:szCs w:val="32"/>
        </w:rPr>
        <w:t xml:space="preserve">我中心作为项目实施单位，精心组织和实施了本项目。一是成立专门领导小组；二的严格按水利基本建设程序办事；三是贯彻落实项目法人制、招标投标制、建设监理制和合同管理制等；四是从严把关，加强工程质量和安全管理；五是切实加强工程财务管理。 </w:t>
      </w:r>
    </w:p>
    <w:p>
      <w:pPr>
        <w:autoSpaceDE w:val="0"/>
        <w:autoSpaceDN w:val="0"/>
        <w:adjustRightInd w:val="0"/>
        <w:spacing w:line="600" w:lineRule="exact"/>
        <w:ind w:firstLine="640" w:firstLineChars="200"/>
        <w:jc w:val="left"/>
        <w:rPr>
          <w:rFonts w:eastAsia="楷体_GB2312"/>
          <w:kern w:val="0"/>
          <w:sz w:val="32"/>
          <w:szCs w:val="32"/>
        </w:rPr>
      </w:pPr>
      <w:r>
        <w:rPr>
          <w:rFonts w:eastAsia="楷体_GB2312"/>
          <w:kern w:val="0"/>
          <w:sz w:val="32"/>
          <w:szCs w:val="32"/>
        </w:rPr>
        <w:t>三、项目绩效目标</w:t>
      </w:r>
    </w:p>
    <w:p>
      <w:pPr>
        <w:autoSpaceDE w:val="0"/>
        <w:autoSpaceDN w:val="0"/>
        <w:adjustRightInd w:val="0"/>
        <w:spacing w:line="600" w:lineRule="exact"/>
        <w:ind w:firstLine="640" w:firstLineChars="200"/>
        <w:jc w:val="left"/>
        <w:rPr>
          <w:rFonts w:eastAsia="楷体_GB2312"/>
          <w:kern w:val="0"/>
          <w:sz w:val="32"/>
          <w:szCs w:val="32"/>
        </w:rPr>
      </w:pPr>
      <w:r>
        <w:rPr>
          <w:rFonts w:eastAsia="楷体_GB2312"/>
          <w:kern w:val="0"/>
          <w:sz w:val="32"/>
          <w:szCs w:val="32"/>
        </w:rPr>
        <w:t>项目的建成，消除了水库安全隐患，完善了工程管理设施，保障了工程安全度汛，保障了水库下泄生态流量，促进了下游河道生态恢复；改善了农田灌溉、人畜饮水等生产生活条件，促进了灌区农村经济持续稳定发展，也能促进灌区农村产业结构调整，促进农民增收，帮助群众脱贫致富，维护社会稳定；同时，项目的实施也为下游河道沿线森林草原防灭火设施提供用水需求。总之，通过对本项目的实施完成，既有显著的经济效益，又有巨大的社会效益。</w:t>
      </w:r>
    </w:p>
    <w:p>
      <w:pPr>
        <w:autoSpaceDE w:val="0"/>
        <w:autoSpaceDN w:val="0"/>
        <w:adjustRightInd w:val="0"/>
        <w:spacing w:line="600" w:lineRule="exact"/>
        <w:ind w:firstLine="640" w:firstLineChars="200"/>
        <w:jc w:val="left"/>
        <w:rPr>
          <w:rFonts w:eastAsia="楷体_GB2312"/>
          <w:kern w:val="0"/>
          <w:sz w:val="32"/>
          <w:szCs w:val="32"/>
        </w:rPr>
      </w:pPr>
    </w:p>
    <w:p>
      <w:pPr>
        <w:autoSpaceDE w:val="0"/>
        <w:autoSpaceDN w:val="0"/>
        <w:adjustRightInd w:val="0"/>
        <w:spacing w:line="600" w:lineRule="exact"/>
        <w:ind w:firstLine="640" w:firstLineChars="200"/>
        <w:jc w:val="left"/>
        <w:rPr>
          <w:rFonts w:eastAsia="楷体_GB2312"/>
          <w:kern w:val="0"/>
          <w:sz w:val="32"/>
          <w:szCs w:val="32"/>
        </w:rPr>
      </w:pPr>
      <w:r>
        <w:rPr>
          <w:rFonts w:eastAsia="楷体_GB2312"/>
          <w:kern w:val="0"/>
          <w:sz w:val="32"/>
          <w:szCs w:val="32"/>
        </w:rPr>
        <w:t xml:space="preserve">                         </w:t>
      </w:r>
      <w:r>
        <w:rPr>
          <w:rFonts w:hint="eastAsia" w:eastAsia="楷体_GB2312"/>
          <w:kern w:val="0"/>
          <w:sz w:val="32"/>
          <w:szCs w:val="32"/>
        </w:rPr>
        <w:t xml:space="preserve"> </w:t>
      </w:r>
    </w:p>
    <w:p>
      <w:pPr>
        <w:spacing w:line="600" w:lineRule="exact"/>
        <w:jc w:val="center"/>
        <w:rPr>
          <w:rFonts w:eastAsia="楷体_GB2312"/>
          <w:kern w:val="0"/>
          <w:sz w:val="32"/>
          <w:szCs w:val="32"/>
        </w:rPr>
      </w:pPr>
      <w:r>
        <w:rPr>
          <w:rFonts w:hint="eastAsia" w:ascii="方正小标宋简体" w:hAnsi="宋体" w:eastAsia="方正小标宋简体"/>
          <w:color w:val="000000"/>
          <w:kern w:val="0"/>
          <w:sz w:val="44"/>
          <w:szCs w:val="44"/>
        </w:rPr>
        <w:t>攀枝花市胜利水利工程运行中心</w:t>
      </w:r>
      <w:r>
        <w:rPr>
          <w:rFonts w:hint="eastAsia" w:ascii="方正小标宋_GBK" w:eastAsia="方正小标宋_GBK"/>
          <w:sz w:val="44"/>
          <w:szCs w:val="44"/>
          <w:shd w:val="clear" w:color="auto" w:fill="FFFFFF"/>
        </w:rPr>
        <w:t>抗旱节水改造项目</w:t>
      </w:r>
      <w:r>
        <w:rPr>
          <w:rFonts w:hint="eastAsia" w:ascii="方正小标宋简体" w:hAnsi="宋体" w:eastAsia="方正小标宋简体"/>
          <w:color w:val="000000"/>
          <w:kern w:val="0"/>
          <w:sz w:val="44"/>
          <w:szCs w:val="44"/>
        </w:rPr>
        <w:t>2020年</w:t>
      </w:r>
      <w:r>
        <w:rPr>
          <w:rFonts w:hint="eastAsia" w:ascii="方正小标宋简体" w:hAnsi="宋体" w:eastAsia="方正小标宋简体"/>
          <w:color w:val="000000"/>
          <w:kern w:val="0"/>
          <w:sz w:val="44"/>
          <w:szCs w:val="44"/>
          <w:lang w:val="zh-CN"/>
        </w:rPr>
        <w:t>绩效评价报告</w:t>
      </w:r>
    </w:p>
    <w:p>
      <w:pPr>
        <w:widowControl/>
        <w:jc w:val="left"/>
        <w:rPr>
          <w:rStyle w:val="26"/>
          <w:rFonts w:ascii="黑体" w:hAnsi="黑体" w:eastAsia="黑体"/>
          <w:b w:val="0"/>
        </w:rPr>
      </w:pPr>
    </w:p>
    <w:p>
      <w:pPr>
        <w:autoSpaceDE w:val="0"/>
        <w:autoSpaceDN w:val="0"/>
        <w:adjustRightInd w:val="0"/>
        <w:spacing w:line="600" w:lineRule="exact"/>
        <w:ind w:firstLine="640" w:firstLineChars="200"/>
        <w:jc w:val="left"/>
        <w:rPr>
          <w:rFonts w:eastAsia="楷体_GB2312"/>
          <w:kern w:val="0"/>
          <w:sz w:val="32"/>
          <w:szCs w:val="32"/>
        </w:rPr>
      </w:pPr>
      <w:r>
        <w:rPr>
          <w:rFonts w:hint="eastAsia" w:eastAsia="楷体_GB2312"/>
          <w:kern w:val="0"/>
          <w:sz w:val="32"/>
          <w:szCs w:val="32"/>
        </w:rPr>
        <w:t>一、项目基本情况</w:t>
      </w:r>
    </w:p>
    <w:p>
      <w:pPr>
        <w:autoSpaceDE w:val="0"/>
        <w:autoSpaceDN w:val="0"/>
        <w:adjustRightInd w:val="0"/>
        <w:spacing w:line="600" w:lineRule="exact"/>
        <w:ind w:firstLine="640" w:firstLineChars="200"/>
        <w:jc w:val="left"/>
        <w:rPr>
          <w:rFonts w:eastAsia="楷体_GB2312"/>
          <w:kern w:val="0"/>
          <w:sz w:val="32"/>
          <w:szCs w:val="32"/>
        </w:rPr>
      </w:pPr>
      <w:r>
        <w:rPr>
          <w:rFonts w:hint="eastAsia" w:eastAsia="楷体_GB2312"/>
          <w:kern w:val="0"/>
          <w:sz w:val="32"/>
          <w:szCs w:val="32"/>
        </w:rPr>
        <w:t>(一) 项目背景</w:t>
      </w:r>
    </w:p>
    <w:p>
      <w:pPr>
        <w:autoSpaceDE w:val="0"/>
        <w:autoSpaceDN w:val="0"/>
        <w:adjustRightInd w:val="0"/>
        <w:spacing w:line="600" w:lineRule="exact"/>
        <w:ind w:firstLine="640" w:firstLineChars="200"/>
        <w:jc w:val="left"/>
        <w:rPr>
          <w:rFonts w:eastAsia="楷体_GB2312"/>
          <w:kern w:val="0"/>
          <w:sz w:val="32"/>
          <w:szCs w:val="32"/>
        </w:rPr>
      </w:pPr>
      <w:r>
        <w:rPr>
          <w:rFonts w:hint="eastAsia" w:eastAsia="楷体_GB2312"/>
          <w:kern w:val="0"/>
          <w:sz w:val="32"/>
          <w:szCs w:val="32"/>
        </w:rPr>
        <w:t>胜利水库干渠沿大河右岸布置，行进于大河右岸半山腰中，渠首与胜利水库放水隧洞出口相连，渠尾通过向阳隧洞到达金沙江右岸灌区，全长18.763Km，其中隧洞23座共长16.2365Km,明渠暗拱共长1.6375Km,涵洞12座共长0.281Km，暗涵5处共长0.116Km，渡槽6座共长0.492Km。干旱缺水始终制约着灌区农村经济发展，干支渠渠系工程配套不很完善，加之处于石英闪长岩风化区，土质沙化严重，输水存在严重的跑、漏、渗现象，造成渠系水利用率级低，旱季输水过程中，农户争水抢水偷水现象时有发生，由此引发灌区用水矛盾十分突出。</w:t>
      </w:r>
    </w:p>
    <w:p>
      <w:pPr>
        <w:autoSpaceDE w:val="0"/>
        <w:autoSpaceDN w:val="0"/>
        <w:adjustRightInd w:val="0"/>
        <w:spacing w:line="600" w:lineRule="exact"/>
        <w:ind w:firstLine="640" w:firstLineChars="200"/>
        <w:jc w:val="left"/>
        <w:rPr>
          <w:rFonts w:eastAsia="楷体_GB2312"/>
          <w:kern w:val="0"/>
          <w:sz w:val="32"/>
          <w:szCs w:val="32"/>
        </w:rPr>
      </w:pPr>
      <w:r>
        <w:rPr>
          <w:rFonts w:hint="eastAsia" w:eastAsia="楷体_GB2312"/>
          <w:kern w:val="0"/>
          <w:sz w:val="32"/>
          <w:szCs w:val="32"/>
        </w:rPr>
        <w:t>本次项目实施可有效改善项目区争水、抢水、偷水情况，最大程度保护干渠不受破坏，进一步提高灌区群众节约用水意识，规范灌区用水秩序，使有限水资源发挥最大经济社会效益，对促进农民增收、农业增产、农村增效有积极意义。且本项目实施后，初步估计每年能节约胜利水库水量30万m3，节约的水量可以通过阿署达支渠至巴斯箐斗渠再引至攀西科技城作生态用水。</w:t>
      </w:r>
    </w:p>
    <w:p>
      <w:pPr>
        <w:autoSpaceDE w:val="0"/>
        <w:autoSpaceDN w:val="0"/>
        <w:adjustRightInd w:val="0"/>
        <w:spacing w:line="600" w:lineRule="exact"/>
        <w:ind w:firstLine="640" w:firstLineChars="200"/>
        <w:jc w:val="left"/>
        <w:rPr>
          <w:rFonts w:eastAsia="楷体_GB2312"/>
          <w:kern w:val="0"/>
          <w:sz w:val="32"/>
          <w:szCs w:val="32"/>
        </w:rPr>
      </w:pPr>
      <w:r>
        <w:rPr>
          <w:rFonts w:hint="eastAsia" w:eastAsia="楷体_GB2312"/>
          <w:kern w:val="0"/>
          <w:sz w:val="32"/>
          <w:szCs w:val="32"/>
        </w:rPr>
        <w:t>(二) 项目主要内容</w:t>
      </w:r>
    </w:p>
    <w:p>
      <w:pPr>
        <w:autoSpaceDE w:val="0"/>
        <w:autoSpaceDN w:val="0"/>
        <w:adjustRightInd w:val="0"/>
        <w:spacing w:line="600" w:lineRule="exact"/>
        <w:ind w:firstLine="640" w:firstLineChars="200"/>
        <w:jc w:val="left"/>
        <w:rPr>
          <w:rFonts w:eastAsia="楷体_GB2312"/>
          <w:kern w:val="0"/>
          <w:sz w:val="32"/>
          <w:szCs w:val="32"/>
        </w:rPr>
      </w:pPr>
      <w:r>
        <w:rPr>
          <w:rFonts w:hint="eastAsia" w:eastAsia="楷体_GB2312"/>
          <w:kern w:val="0"/>
          <w:sz w:val="32"/>
          <w:szCs w:val="32"/>
        </w:rPr>
        <w:t>本次胜利水库干渠抗旱工程节水改造建设内容为：新建蓄水池3个(三棵树1000 m3，小火山300 m3，豹子洞300 m3)，新建引水管道2734.35m(DN630长174m,DN300长1169.25m，DN200长1285.7m,DN75长105.4m)，新增闸阀70个(300mm15个，200mm3个，100mm3个，75mm53个)及DN630蝶阀(0.8MPA)1套和1330mm×970mm×6mm节制闸3套，管理房4座。</w:t>
      </w:r>
    </w:p>
    <w:p>
      <w:pPr>
        <w:autoSpaceDE w:val="0"/>
        <w:autoSpaceDN w:val="0"/>
        <w:adjustRightInd w:val="0"/>
        <w:spacing w:line="600" w:lineRule="exact"/>
        <w:ind w:firstLine="640" w:firstLineChars="200"/>
        <w:jc w:val="left"/>
        <w:rPr>
          <w:rFonts w:eastAsia="楷体_GB2312"/>
          <w:kern w:val="0"/>
          <w:sz w:val="32"/>
          <w:szCs w:val="32"/>
        </w:rPr>
      </w:pPr>
      <w:r>
        <w:rPr>
          <w:rFonts w:eastAsia="楷体_GB2312"/>
          <w:kern w:val="0"/>
          <w:sz w:val="32"/>
          <w:szCs w:val="32"/>
        </w:rPr>
        <w:t>二、项目实施</w:t>
      </w:r>
    </w:p>
    <w:p>
      <w:pPr>
        <w:autoSpaceDE w:val="0"/>
        <w:autoSpaceDN w:val="0"/>
        <w:adjustRightInd w:val="0"/>
        <w:spacing w:line="600" w:lineRule="exact"/>
        <w:ind w:firstLine="640" w:firstLineChars="200"/>
        <w:jc w:val="left"/>
        <w:rPr>
          <w:rFonts w:eastAsia="楷体_GB2312"/>
          <w:kern w:val="0"/>
          <w:sz w:val="32"/>
          <w:szCs w:val="32"/>
        </w:rPr>
      </w:pPr>
      <w:r>
        <w:rPr>
          <w:rFonts w:hint="eastAsia" w:eastAsia="楷体_GB2312"/>
          <w:kern w:val="0"/>
          <w:sz w:val="32"/>
          <w:szCs w:val="32"/>
        </w:rPr>
        <w:t>2019年12月，攀枝花市财政局攀枝花市水利局《关于下达2019年省级财政农业生产和水利救灾资金的通知》(攀财农资[2019]100号)安排给攀枝花市胜利水利工程运行中心预防灌区干旱所需的设施建设和物资设备补助资金200万元，我中心作为项目实施单位，进精心组织和实施了本项目。一是成立专门领导小组；二的严格按水利基本建设程序办事；三是贯彻落实项目法人制、招标投标制、建设监理制和合同管理制等；四是从严把关，加强工程质量和安全管理；五是切实加强工程财务管理。</w:t>
      </w:r>
      <w:r>
        <w:rPr>
          <w:rFonts w:eastAsia="楷体_GB2312"/>
          <w:kern w:val="0"/>
          <w:sz w:val="32"/>
          <w:szCs w:val="32"/>
        </w:rPr>
        <w:t xml:space="preserve"> </w:t>
      </w:r>
    </w:p>
    <w:p>
      <w:pPr>
        <w:autoSpaceDE w:val="0"/>
        <w:autoSpaceDN w:val="0"/>
        <w:adjustRightInd w:val="0"/>
        <w:spacing w:line="600" w:lineRule="exact"/>
        <w:ind w:firstLine="640" w:firstLineChars="200"/>
        <w:jc w:val="left"/>
        <w:rPr>
          <w:rFonts w:eastAsia="楷体_GB2312"/>
          <w:kern w:val="0"/>
          <w:sz w:val="32"/>
          <w:szCs w:val="32"/>
        </w:rPr>
      </w:pPr>
      <w:r>
        <w:rPr>
          <w:rFonts w:eastAsia="楷体_GB2312"/>
          <w:kern w:val="0"/>
          <w:sz w:val="32"/>
          <w:szCs w:val="32"/>
        </w:rPr>
        <w:t>三、项目绩效目标</w:t>
      </w:r>
    </w:p>
    <w:p>
      <w:pPr>
        <w:widowControl/>
        <w:jc w:val="left"/>
        <w:rPr>
          <w:rStyle w:val="26"/>
          <w:rFonts w:ascii="黑体" w:hAnsi="黑体" w:eastAsia="黑体"/>
          <w:b w:val="0"/>
        </w:rPr>
      </w:pPr>
      <w:r>
        <w:rPr>
          <w:rFonts w:hint="eastAsia" w:eastAsia="楷体_GB2312"/>
          <w:kern w:val="0"/>
          <w:sz w:val="32"/>
          <w:szCs w:val="32"/>
        </w:rPr>
        <w:t>项目的建成，增强了灌区农业抵御自然灾害风险及通过综合生产的能力，改善了农田灌溉、人畜饮水等生产生活条件，提高了农作物产量，促进了灌区农村经济持续稳定发展，也能促进灌区农村产业结构调整，促进农民增收，帮助群众脱贫致富，维护社会稳定。同时，项目的实施也是积极探索和引导群众开发商品农业的新路子。项目实施后，一是直接改善灌区灌面4500亩， 使2500余名群众受益；二是每年至少能节约30万m3水量用于补充攀西科技城生态用水的不足，推动攀枝花市“两城”建设，实现攀枝花市政府提出的以新发展理念推动产业转型升级战略目标。总之，通过对本项目的实施完成，即有显著的经济效益，又有巨大的社会效益。</w:t>
      </w:r>
    </w:p>
    <w:p>
      <w:pPr>
        <w:spacing w:line="600" w:lineRule="exact"/>
        <w:jc w:val="center"/>
        <w:outlineLvl w:val="0"/>
        <w:rPr>
          <w:rFonts w:ascii="仿宋" w:hAnsi="仿宋" w:eastAsia="仿宋"/>
          <w:b/>
          <w:color w:val="000000"/>
          <w:sz w:val="44"/>
          <w:szCs w:val="44"/>
        </w:rPr>
      </w:pPr>
      <w:bookmarkStart w:id="174" w:name="_Toc24128"/>
      <w:bookmarkStart w:id="175" w:name="_Toc10718"/>
      <w:bookmarkStart w:id="176" w:name="_Toc15396618"/>
      <w:bookmarkStart w:id="177" w:name="_Toc4608"/>
      <w:bookmarkStart w:id="178" w:name="_Toc455"/>
      <w:r>
        <w:rPr>
          <w:rFonts w:hint="eastAsia" w:ascii="黑体" w:hAnsi="黑体" w:eastAsia="黑体"/>
          <w:color w:val="000000"/>
          <w:sz w:val="44"/>
          <w:szCs w:val="44"/>
        </w:rPr>
        <w:t>第</w:t>
      </w:r>
      <w:r>
        <w:rPr>
          <w:rStyle w:val="26"/>
          <w:rFonts w:hint="eastAsia" w:ascii="黑体" w:hAnsi="黑体" w:eastAsia="黑体"/>
          <w:b w:val="0"/>
        </w:rPr>
        <w:t>五部分</w:t>
      </w:r>
      <w:r>
        <w:rPr>
          <w:rStyle w:val="26"/>
          <w:rFonts w:ascii="黑体" w:hAnsi="黑体" w:eastAsia="黑体"/>
          <w:b w:val="0"/>
        </w:rPr>
        <w:t xml:space="preserve"> </w:t>
      </w:r>
      <w:r>
        <w:rPr>
          <w:rStyle w:val="26"/>
          <w:rFonts w:hint="eastAsia" w:ascii="黑体" w:hAnsi="黑体" w:eastAsia="黑体"/>
          <w:b w:val="0"/>
        </w:rPr>
        <w:t>附表</w:t>
      </w:r>
      <w:bookmarkEnd w:id="163"/>
      <w:bookmarkEnd w:id="174"/>
      <w:bookmarkEnd w:id="175"/>
      <w:bookmarkEnd w:id="176"/>
      <w:bookmarkEnd w:id="177"/>
      <w:bookmarkEnd w:id="178"/>
    </w:p>
    <w:p>
      <w:pPr>
        <w:pStyle w:val="5"/>
        <w:rPr>
          <w:rFonts w:ascii="仿宋" w:hAnsi="仿宋" w:eastAsia="仿宋"/>
          <w:color w:val="000000"/>
          <w:sz w:val="28"/>
          <w:szCs w:val="28"/>
        </w:rPr>
      </w:pPr>
      <w:bookmarkStart w:id="179" w:name="_Toc15396619"/>
      <w:bookmarkStart w:id="180" w:name="_Toc1847"/>
      <w:bookmarkStart w:id="181" w:name="_Toc8935"/>
      <w:bookmarkStart w:id="182" w:name="_Toc22353"/>
      <w:bookmarkStart w:id="183" w:name="_Toc15383"/>
      <w:r>
        <w:rPr>
          <w:rFonts w:hint="eastAsia" w:ascii="仿宋" w:hAnsi="仿宋" w:eastAsia="仿宋"/>
          <w:b w:val="0"/>
          <w:color w:val="000000"/>
          <w:sz w:val="28"/>
          <w:szCs w:val="28"/>
        </w:rPr>
        <w:t>一、收</w:t>
      </w:r>
      <w:r>
        <w:rPr>
          <w:rStyle w:val="30"/>
          <w:rFonts w:hint="eastAsia" w:ascii="仿宋" w:hAnsi="仿宋" w:eastAsia="仿宋"/>
          <w:b w:val="0"/>
          <w:bCs w:val="0"/>
          <w:sz w:val="28"/>
          <w:szCs w:val="28"/>
        </w:rPr>
        <w:t>入支出决算总表</w:t>
      </w:r>
      <w:bookmarkEnd w:id="179"/>
      <w:bookmarkEnd w:id="180"/>
      <w:bookmarkEnd w:id="181"/>
      <w:bookmarkEnd w:id="182"/>
      <w:bookmarkEnd w:id="183"/>
    </w:p>
    <w:p>
      <w:pPr>
        <w:pStyle w:val="5"/>
        <w:rPr>
          <w:rFonts w:ascii="仿宋" w:hAnsi="仿宋" w:eastAsia="仿宋"/>
          <w:color w:val="000000"/>
          <w:sz w:val="28"/>
          <w:szCs w:val="28"/>
        </w:rPr>
      </w:pPr>
      <w:bookmarkStart w:id="184" w:name="_Toc25570"/>
      <w:bookmarkStart w:id="185" w:name="_Toc4512"/>
      <w:bookmarkStart w:id="186" w:name="_Toc17010"/>
      <w:bookmarkStart w:id="187" w:name="_Toc9838"/>
      <w:bookmarkStart w:id="188" w:name="_Toc15396620"/>
      <w:r>
        <w:rPr>
          <w:rFonts w:hint="eastAsia" w:ascii="仿宋" w:hAnsi="仿宋" w:eastAsia="仿宋"/>
          <w:b w:val="0"/>
          <w:color w:val="000000"/>
          <w:sz w:val="28"/>
          <w:szCs w:val="28"/>
        </w:rPr>
        <w:t>二、收</w:t>
      </w:r>
      <w:r>
        <w:rPr>
          <w:rStyle w:val="30"/>
          <w:rFonts w:hint="eastAsia" w:ascii="仿宋" w:hAnsi="仿宋" w:eastAsia="仿宋"/>
          <w:b w:val="0"/>
          <w:bCs w:val="0"/>
          <w:sz w:val="28"/>
          <w:szCs w:val="28"/>
        </w:rPr>
        <w:t>入决算表</w:t>
      </w:r>
      <w:bookmarkEnd w:id="184"/>
      <w:bookmarkEnd w:id="185"/>
      <w:bookmarkEnd w:id="186"/>
      <w:bookmarkEnd w:id="187"/>
      <w:bookmarkEnd w:id="188"/>
    </w:p>
    <w:p>
      <w:pPr>
        <w:pStyle w:val="5"/>
        <w:rPr>
          <w:rFonts w:ascii="仿宋" w:hAnsi="仿宋" w:eastAsia="仿宋"/>
          <w:color w:val="000000"/>
          <w:sz w:val="28"/>
          <w:szCs w:val="28"/>
        </w:rPr>
      </w:pPr>
      <w:bookmarkStart w:id="189" w:name="_Toc15396621"/>
      <w:bookmarkStart w:id="190" w:name="_Toc25376"/>
      <w:bookmarkStart w:id="191" w:name="_Toc13143"/>
      <w:bookmarkStart w:id="192" w:name="_Toc32209"/>
      <w:bookmarkStart w:id="193" w:name="_Toc1349"/>
      <w:r>
        <w:rPr>
          <w:rStyle w:val="30"/>
          <w:rFonts w:hint="eastAsia" w:ascii="仿宋" w:hAnsi="仿宋" w:eastAsia="仿宋"/>
          <w:b w:val="0"/>
          <w:bCs w:val="0"/>
          <w:sz w:val="28"/>
          <w:szCs w:val="28"/>
        </w:rPr>
        <w:t>三、</w:t>
      </w:r>
      <w:r>
        <w:rPr>
          <w:rFonts w:hint="eastAsia" w:ascii="仿宋" w:hAnsi="仿宋" w:eastAsia="仿宋"/>
          <w:b w:val="0"/>
          <w:color w:val="000000"/>
          <w:sz w:val="28"/>
          <w:szCs w:val="28"/>
        </w:rPr>
        <w:t>支</w:t>
      </w:r>
      <w:r>
        <w:rPr>
          <w:rStyle w:val="30"/>
          <w:rFonts w:hint="eastAsia" w:ascii="仿宋" w:hAnsi="仿宋" w:eastAsia="仿宋"/>
          <w:b w:val="0"/>
          <w:bCs w:val="0"/>
          <w:sz w:val="28"/>
          <w:szCs w:val="28"/>
        </w:rPr>
        <w:t>出决算表</w:t>
      </w:r>
      <w:bookmarkEnd w:id="189"/>
      <w:bookmarkEnd w:id="190"/>
      <w:bookmarkEnd w:id="191"/>
      <w:bookmarkEnd w:id="192"/>
      <w:bookmarkEnd w:id="193"/>
    </w:p>
    <w:p>
      <w:pPr>
        <w:pStyle w:val="5"/>
        <w:rPr>
          <w:rFonts w:ascii="仿宋" w:hAnsi="仿宋" w:eastAsia="仿宋"/>
          <w:b w:val="0"/>
          <w:color w:val="000000"/>
          <w:sz w:val="28"/>
          <w:szCs w:val="28"/>
        </w:rPr>
      </w:pPr>
      <w:bookmarkStart w:id="194" w:name="_Toc15396622"/>
      <w:bookmarkStart w:id="195" w:name="_Toc19960"/>
      <w:bookmarkStart w:id="196" w:name="_Toc25959"/>
      <w:bookmarkStart w:id="197" w:name="_Toc31636"/>
      <w:bookmarkStart w:id="198" w:name="_Toc21210"/>
      <w:r>
        <w:rPr>
          <w:rStyle w:val="30"/>
          <w:rFonts w:hint="eastAsia" w:ascii="仿宋" w:hAnsi="仿宋" w:eastAsia="仿宋"/>
          <w:b w:val="0"/>
          <w:bCs w:val="0"/>
          <w:sz w:val="28"/>
          <w:szCs w:val="28"/>
        </w:rPr>
        <w:t>四、</w:t>
      </w:r>
      <w:r>
        <w:rPr>
          <w:rFonts w:hint="eastAsia" w:ascii="仿宋" w:hAnsi="仿宋" w:eastAsia="仿宋"/>
          <w:b w:val="0"/>
          <w:color w:val="000000"/>
          <w:sz w:val="28"/>
          <w:szCs w:val="28"/>
        </w:rPr>
        <w:t>财</w:t>
      </w:r>
      <w:r>
        <w:rPr>
          <w:rStyle w:val="30"/>
          <w:rFonts w:hint="eastAsia" w:ascii="仿宋" w:hAnsi="仿宋" w:eastAsia="仿宋"/>
          <w:b w:val="0"/>
          <w:bCs w:val="0"/>
          <w:sz w:val="28"/>
          <w:szCs w:val="28"/>
        </w:rPr>
        <w:t>政拨款收入支出决算总表</w:t>
      </w:r>
      <w:bookmarkEnd w:id="194"/>
      <w:bookmarkEnd w:id="195"/>
      <w:bookmarkEnd w:id="196"/>
      <w:bookmarkEnd w:id="197"/>
      <w:bookmarkEnd w:id="198"/>
    </w:p>
    <w:p>
      <w:pPr>
        <w:pStyle w:val="5"/>
        <w:rPr>
          <w:rStyle w:val="30"/>
          <w:rFonts w:ascii="仿宋" w:hAnsi="仿宋" w:eastAsia="仿宋"/>
          <w:b w:val="0"/>
          <w:bCs w:val="0"/>
          <w:sz w:val="28"/>
          <w:szCs w:val="28"/>
        </w:rPr>
      </w:pPr>
      <w:bookmarkStart w:id="199" w:name="_Toc15396623"/>
      <w:bookmarkStart w:id="200" w:name="_Toc8384"/>
      <w:bookmarkStart w:id="201" w:name="_Toc24403"/>
      <w:bookmarkStart w:id="202" w:name="_Toc16456"/>
      <w:bookmarkStart w:id="203" w:name="_Toc25207"/>
      <w:r>
        <w:rPr>
          <w:rStyle w:val="30"/>
          <w:rFonts w:hint="eastAsia" w:ascii="仿宋" w:hAnsi="仿宋" w:eastAsia="仿宋"/>
          <w:b w:val="0"/>
          <w:bCs w:val="0"/>
          <w:sz w:val="28"/>
          <w:szCs w:val="28"/>
        </w:rPr>
        <w:t>五、</w:t>
      </w:r>
      <w:r>
        <w:rPr>
          <w:rFonts w:hint="eastAsia" w:ascii="仿宋" w:hAnsi="仿宋" w:eastAsia="仿宋"/>
          <w:b w:val="0"/>
          <w:color w:val="000000"/>
          <w:sz w:val="28"/>
          <w:szCs w:val="28"/>
        </w:rPr>
        <w:t>财</w:t>
      </w:r>
      <w:r>
        <w:rPr>
          <w:rStyle w:val="30"/>
          <w:rFonts w:hint="eastAsia" w:ascii="仿宋" w:hAnsi="仿宋" w:eastAsia="仿宋"/>
          <w:b w:val="0"/>
          <w:bCs w:val="0"/>
          <w:sz w:val="28"/>
          <w:szCs w:val="28"/>
        </w:rPr>
        <w:t>政拨款支出决算明细表</w:t>
      </w:r>
      <w:bookmarkEnd w:id="199"/>
      <w:bookmarkEnd w:id="200"/>
      <w:bookmarkEnd w:id="201"/>
      <w:bookmarkEnd w:id="202"/>
      <w:bookmarkEnd w:id="203"/>
      <w:bookmarkStart w:id="204" w:name="_Toc15396624"/>
    </w:p>
    <w:p>
      <w:pPr>
        <w:pStyle w:val="5"/>
        <w:rPr>
          <w:rFonts w:ascii="仿宋" w:hAnsi="仿宋" w:eastAsia="仿宋"/>
          <w:color w:val="000000"/>
          <w:sz w:val="28"/>
          <w:szCs w:val="28"/>
        </w:rPr>
      </w:pPr>
      <w:bookmarkStart w:id="205" w:name="_Toc9787"/>
      <w:bookmarkStart w:id="206" w:name="_Toc3271"/>
      <w:bookmarkStart w:id="207" w:name="_Toc29770"/>
      <w:bookmarkStart w:id="208" w:name="_Toc5664"/>
      <w:r>
        <w:rPr>
          <w:rStyle w:val="30"/>
          <w:rFonts w:hint="eastAsia" w:ascii="仿宋" w:hAnsi="仿宋" w:eastAsia="仿宋"/>
          <w:b w:val="0"/>
          <w:bCs w:val="0"/>
          <w:sz w:val="28"/>
          <w:szCs w:val="28"/>
        </w:rPr>
        <w:t>六、</w:t>
      </w:r>
      <w:r>
        <w:rPr>
          <w:rFonts w:hint="eastAsia" w:ascii="仿宋" w:hAnsi="仿宋" w:eastAsia="仿宋"/>
          <w:b w:val="0"/>
          <w:color w:val="000000"/>
          <w:sz w:val="28"/>
          <w:szCs w:val="28"/>
        </w:rPr>
        <w:t>一</w:t>
      </w:r>
      <w:r>
        <w:rPr>
          <w:rStyle w:val="30"/>
          <w:rFonts w:hint="eastAsia" w:ascii="仿宋" w:hAnsi="仿宋" w:eastAsia="仿宋"/>
          <w:b w:val="0"/>
          <w:bCs w:val="0"/>
          <w:sz w:val="28"/>
          <w:szCs w:val="28"/>
        </w:rPr>
        <w:t>般公共预算财政拨款支出决算表</w:t>
      </w:r>
      <w:bookmarkEnd w:id="204"/>
      <w:bookmarkEnd w:id="205"/>
      <w:bookmarkEnd w:id="206"/>
      <w:bookmarkEnd w:id="207"/>
      <w:bookmarkEnd w:id="208"/>
    </w:p>
    <w:p>
      <w:pPr>
        <w:pStyle w:val="5"/>
        <w:rPr>
          <w:rFonts w:ascii="仿宋" w:hAnsi="仿宋" w:eastAsia="仿宋"/>
          <w:color w:val="000000"/>
          <w:sz w:val="28"/>
          <w:szCs w:val="28"/>
        </w:rPr>
      </w:pPr>
      <w:bookmarkStart w:id="209" w:name="_Toc20205"/>
      <w:bookmarkStart w:id="210" w:name="_Toc20140"/>
      <w:bookmarkStart w:id="211" w:name="_Toc24167"/>
      <w:bookmarkStart w:id="212" w:name="_Toc15396625"/>
      <w:bookmarkStart w:id="213" w:name="_Toc22429"/>
      <w:r>
        <w:rPr>
          <w:rStyle w:val="30"/>
          <w:rFonts w:hint="eastAsia" w:ascii="仿宋" w:hAnsi="仿宋" w:eastAsia="仿宋"/>
          <w:b w:val="0"/>
          <w:bCs w:val="0"/>
          <w:sz w:val="28"/>
          <w:szCs w:val="28"/>
        </w:rPr>
        <w:t>七、</w:t>
      </w:r>
      <w:r>
        <w:rPr>
          <w:rFonts w:hint="eastAsia" w:ascii="仿宋" w:hAnsi="仿宋" w:eastAsia="仿宋"/>
          <w:b w:val="0"/>
          <w:color w:val="000000"/>
          <w:sz w:val="28"/>
          <w:szCs w:val="28"/>
        </w:rPr>
        <w:t>一</w:t>
      </w:r>
      <w:r>
        <w:rPr>
          <w:rStyle w:val="30"/>
          <w:rFonts w:hint="eastAsia" w:ascii="仿宋" w:hAnsi="仿宋" w:eastAsia="仿宋"/>
          <w:b w:val="0"/>
          <w:bCs w:val="0"/>
          <w:sz w:val="28"/>
          <w:szCs w:val="28"/>
        </w:rPr>
        <w:t>般公共预算财政拨款支出决算明细表</w:t>
      </w:r>
      <w:bookmarkEnd w:id="209"/>
      <w:bookmarkEnd w:id="210"/>
      <w:bookmarkEnd w:id="211"/>
      <w:bookmarkEnd w:id="212"/>
      <w:bookmarkEnd w:id="213"/>
    </w:p>
    <w:p>
      <w:pPr>
        <w:pStyle w:val="5"/>
        <w:rPr>
          <w:rFonts w:ascii="仿宋" w:hAnsi="仿宋" w:eastAsia="仿宋"/>
          <w:color w:val="000000"/>
          <w:sz w:val="28"/>
          <w:szCs w:val="28"/>
        </w:rPr>
      </w:pPr>
      <w:bookmarkStart w:id="214" w:name="_Toc19535"/>
      <w:bookmarkStart w:id="215" w:name="_Toc22078"/>
      <w:bookmarkStart w:id="216" w:name="_Toc23697"/>
      <w:bookmarkStart w:id="217" w:name="_Toc17145"/>
      <w:bookmarkStart w:id="218" w:name="_Toc15396626"/>
      <w:r>
        <w:rPr>
          <w:rStyle w:val="30"/>
          <w:rFonts w:hint="eastAsia" w:ascii="仿宋" w:hAnsi="仿宋" w:eastAsia="仿宋"/>
          <w:b w:val="0"/>
          <w:bCs w:val="0"/>
          <w:sz w:val="28"/>
          <w:szCs w:val="28"/>
        </w:rPr>
        <w:t>八、</w:t>
      </w:r>
      <w:r>
        <w:rPr>
          <w:rFonts w:hint="eastAsia" w:ascii="仿宋" w:hAnsi="仿宋" w:eastAsia="仿宋"/>
          <w:b w:val="0"/>
          <w:color w:val="000000"/>
          <w:sz w:val="28"/>
          <w:szCs w:val="28"/>
        </w:rPr>
        <w:t>一</w:t>
      </w:r>
      <w:r>
        <w:rPr>
          <w:rStyle w:val="30"/>
          <w:rFonts w:hint="eastAsia" w:ascii="仿宋" w:hAnsi="仿宋" w:eastAsia="仿宋"/>
          <w:b w:val="0"/>
          <w:bCs w:val="0"/>
          <w:sz w:val="28"/>
          <w:szCs w:val="28"/>
        </w:rPr>
        <w:t>般公共预算财政拨款基本支出决算表</w:t>
      </w:r>
      <w:bookmarkEnd w:id="214"/>
      <w:bookmarkEnd w:id="215"/>
      <w:bookmarkEnd w:id="216"/>
      <w:bookmarkEnd w:id="217"/>
      <w:bookmarkEnd w:id="218"/>
    </w:p>
    <w:p>
      <w:pPr>
        <w:pStyle w:val="5"/>
        <w:rPr>
          <w:rFonts w:ascii="仿宋" w:hAnsi="仿宋" w:eastAsia="仿宋"/>
          <w:color w:val="000000"/>
          <w:sz w:val="28"/>
          <w:szCs w:val="28"/>
        </w:rPr>
      </w:pPr>
      <w:bookmarkStart w:id="219" w:name="_Toc15396627"/>
      <w:bookmarkStart w:id="220" w:name="_Toc25396"/>
      <w:bookmarkStart w:id="221" w:name="_Toc18336"/>
      <w:bookmarkStart w:id="222" w:name="_Toc25390"/>
      <w:bookmarkStart w:id="223" w:name="_Toc11396"/>
      <w:r>
        <w:rPr>
          <w:rStyle w:val="30"/>
          <w:rFonts w:hint="eastAsia" w:ascii="仿宋" w:hAnsi="仿宋" w:eastAsia="仿宋"/>
          <w:b w:val="0"/>
          <w:bCs w:val="0"/>
          <w:sz w:val="28"/>
          <w:szCs w:val="28"/>
        </w:rPr>
        <w:t>九、</w:t>
      </w:r>
      <w:r>
        <w:rPr>
          <w:rFonts w:hint="eastAsia" w:ascii="仿宋" w:hAnsi="仿宋" w:eastAsia="仿宋"/>
          <w:b w:val="0"/>
          <w:color w:val="000000"/>
          <w:sz w:val="28"/>
          <w:szCs w:val="28"/>
        </w:rPr>
        <w:t>一</w:t>
      </w:r>
      <w:r>
        <w:rPr>
          <w:rStyle w:val="30"/>
          <w:rFonts w:hint="eastAsia" w:ascii="仿宋" w:hAnsi="仿宋" w:eastAsia="仿宋"/>
          <w:b w:val="0"/>
          <w:bCs w:val="0"/>
          <w:sz w:val="28"/>
          <w:szCs w:val="28"/>
        </w:rPr>
        <w:t>般公共预算财政拨款项目支出决算表</w:t>
      </w:r>
      <w:bookmarkEnd w:id="219"/>
      <w:bookmarkEnd w:id="220"/>
      <w:bookmarkEnd w:id="221"/>
      <w:bookmarkEnd w:id="222"/>
      <w:bookmarkEnd w:id="223"/>
    </w:p>
    <w:p>
      <w:pPr>
        <w:pStyle w:val="5"/>
        <w:rPr>
          <w:rFonts w:ascii="仿宋" w:hAnsi="仿宋" w:eastAsia="仿宋"/>
          <w:color w:val="000000"/>
          <w:sz w:val="28"/>
          <w:szCs w:val="28"/>
        </w:rPr>
      </w:pPr>
      <w:bookmarkStart w:id="224" w:name="_Toc20744"/>
      <w:bookmarkStart w:id="225" w:name="_Toc15396628"/>
      <w:bookmarkStart w:id="226" w:name="_Toc19349"/>
      <w:bookmarkStart w:id="227" w:name="_Toc18033"/>
      <w:bookmarkStart w:id="228" w:name="_Toc7557"/>
      <w:r>
        <w:rPr>
          <w:rStyle w:val="30"/>
          <w:rFonts w:hint="eastAsia" w:ascii="仿宋" w:hAnsi="仿宋" w:eastAsia="仿宋"/>
          <w:b w:val="0"/>
          <w:bCs w:val="0"/>
          <w:sz w:val="28"/>
          <w:szCs w:val="28"/>
        </w:rPr>
        <w:t>十、</w:t>
      </w:r>
      <w:r>
        <w:rPr>
          <w:rFonts w:hint="eastAsia" w:ascii="仿宋" w:hAnsi="仿宋" w:eastAsia="仿宋"/>
          <w:b w:val="0"/>
          <w:color w:val="000000"/>
          <w:sz w:val="28"/>
          <w:szCs w:val="28"/>
        </w:rPr>
        <w:t>一</w:t>
      </w:r>
      <w:r>
        <w:rPr>
          <w:rStyle w:val="30"/>
          <w:rFonts w:hint="eastAsia" w:ascii="仿宋" w:hAnsi="仿宋" w:eastAsia="仿宋"/>
          <w:b w:val="0"/>
          <w:bCs w:val="0"/>
          <w:sz w:val="28"/>
          <w:szCs w:val="28"/>
        </w:rPr>
        <w:t>般公共预算财政拨款“三公”经费支出决算表</w:t>
      </w:r>
      <w:bookmarkEnd w:id="224"/>
      <w:bookmarkEnd w:id="225"/>
      <w:bookmarkEnd w:id="226"/>
      <w:bookmarkEnd w:id="227"/>
      <w:bookmarkEnd w:id="228"/>
    </w:p>
    <w:p>
      <w:pPr>
        <w:pStyle w:val="5"/>
        <w:rPr>
          <w:rFonts w:ascii="仿宋" w:hAnsi="仿宋" w:eastAsia="仿宋"/>
          <w:color w:val="000000"/>
          <w:sz w:val="28"/>
          <w:szCs w:val="28"/>
        </w:rPr>
      </w:pPr>
      <w:bookmarkStart w:id="229" w:name="_Toc2617"/>
      <w:bookmarkStart w:id="230" w:name="_Toc6039"/>
      <w:bookmarkStart w:id="231" w:name="_Toc10087"/>
      <w:bookmarkStart w:id="232" w:name="_Toc26159"/>
      <w:bookmarkStart w:id="233" w:name="_Toc15396629"/>
      <w:r>
        <w:rPr>
          <w:rStyle w:val="30"/>
          <w:rFonts w:hint="eastAsia" w:ascii="仿宋" w:hAnsi="仿宋" w:eastAsia="仿宋"/>
          <w:b w:val="0"/>
          <w:bCs w:val="0"/>
          <w:sz w:val="28"/>
          <w:szCs w:val="28"/>
        </w:rPr>
        <w:t>十一、</w:t>
      </w:r>
      <w:r>
        <w:rPr>
          <w:rFonts w:hint="eastAsia" w:ascii="仿宋" w:hAnsi="仿宋" w:eastAsia="仿宋"/>
          <w:b w:val="0"/>
          <w:color w:val="000000"/>
          <w:sz w:val="28"/>
          <w:szCs w:val="28"/>
        </w:rPr>
        <w:t>政</w:t>
      </w:r>
      <w:r>
        <w:rPr>
          <w:rStyle w:val="30"/>
          <w:rFonts w:hint="eastAsia" w:ascii="仿宋" w:hAnsi="仿宋" w:eastAsia="仿宋"/>
          <w:b w:val="0"/>
          <w:bCs w:val="0"/>
          <w:sz w:val="28"/>
          <w:szCs w:val="28"/>
        </w:rPr>
        <w:t>府性基金预算财政拨款收入支出决算表</w:t>
      </w:r>
      <w:bookmarkEnd w:id="229"/>
      <w:bookmarkEnd w:id="230"/>
      <w:bookmarkEnd w:id="231"/>
      <w:bookmarkEnd w:id="232"/>
      <w:bookmarkEnd w:id="233"/>
    </w:p>
    <w:p>
      <w:pPr>
        <w:pStyle w:val="5"/>
        <w:ind w:right="-512" w:rightChars="-244"/>
        <w:rPr>
          <w:rFonts w:ascii="仿宋" w:hAnsi="仿宋" w:eastAsia="仿宋"/>
          <w:color w:val="000000"/>
          <w:sz w:val="28"/>
          <w:szCs w:val="28"/>
        </w:rPr>
      </w:pPr>
      <w:bookmarkStart w:id="234" w:name="_Toc10965"/>
      <w:bookmarkStart w:id="235" w:name="_Toc19293"/>
      <w:bookmarkStart w:id="236" w:name="_Toc15396630"/>
      <w:bookmarkStart w:id="237" w:name="_Toc18445"/>
      <w:bookmarkStart w:id="238" w:name="_Toc13506"/>
      <w:r>
        <w:rPr>
          <w:rStyle w:val="30"/>
          <w:rFonts w:hint="eastAsia" w:ascii="仿宋" w:hAnsi="仿宋" w:eastAsia="仿宋"/>
          <w:b w:val="0"/>
          <w:bCs w:val="0"/>
          <w:sz w:val="28"/>
          <w:szCs w:val="28"/>
        </w:rPr>
        <w:t>十二、</w:t>
      </w:r>
      <w:r>
        <w:rPr>
          <w:rFonts w:hint="eastAsia" w:ascii="仿宋" w:hAnsi="仿宋" w:eastAsia="仿宋"/>
          <w:b w:val="0"/>
          <w:color w:val="000000"/>
          <w:sz w:val="28"/>
          <w:szCs w:val="28"/>
        </w:rPr>
        <w:t>政</w:t>
      </w:r>
      <w:r>
        <w:rPr>
          <w:rStyle w:val="30"/>
          <w:rFonts w:hint="eastAsia" w:ascii="仿宋" w:hAnsi="仿宋" w:eastAsia="仿宋"/>
          <w:b w:val="0"/>
          <w:bCs w:val="0"/>
          <w:sz w:val="28"/>
          <w:szCs w:val="28"/>
        </w:rPr>
        <w:t>府性基金预算财政拨款“三公”经费支出决算表</w:t>
      </w:r>
      <w:bookmarkEnd w:id="234"/>
      <w:bookmarkEnd w:id="235"/>
      <w:bookmarkEnd w:id="236"/>
      <w:bookmarkEnd w:id="237"/>
      <w:r>
        <w:rPr>
          <w:rStyle w:val="25"/>
          <w:rFonts w:ascii="Times New Roman" w:hAnsi="仿宋" w:eastAsia="仿宋"/>
          <w:b w:val="0"/>
          <w:bCs w:val="0"/>
          <w:sz w:val="28"/>
          <w:szCs w:val="28"/>
        </w:rPr>
        <w:t>（此表</w:t>
      </w:r>
      <w:r>
        <w:rPr>
          <w:rStyle w:val="25"/>
          <w:rFonts w:hint="eastAsia" w:ascii="Times New Roman" w:hAnsi="仿宋" w:eastAsia="仿宋"/>
          <w:b w:val="0"/>
          <w:bCs w:val="0"/>
          <w:sz w:val="28"/>
          <w:szCs w:val="28"/>
        </w:rPr>
        <w:t>无</w:t>
      </w:r>
      <w:r>
        <w:rPr>
          <w:rStyle w:val="25"/>
          <w:rFonts w:ascii="Times New Roman" w:hAnsi="仿宋" w:eastAsia="仿宋"/>
          <w:b w:val="0"/>
          <w:bCs w:val="0"/>
          <w:sz w:val="28"/>
          <w:szCs w:val="28"/>
        </w:rPr>
        <w:t>数据）</w:t>
      </w:r>
      <w:bookmarkEnd w:id="238"/>
    </w:p>
    <w:p>
      <w:pPr>
        <w:pStyle w:val="5"/>
        <w:rPr>
          <w:rStyle w:val="25"/>
          <w:rFonts w:ascii="Times New Roman" w:hAnsi="Times New Roman" w:eastAsia="仿宋"/>
          <w:b w:val="0"/>
          <w:bCs w:val="0"/>
          <w:sz w:val="28"/>
          <w:szCs w:val="28"/>
        </w:rPr>
      </w:pPr>
      <w:bookmarkStart w:id="239" w:name="_Toc19030"/>
      <w:bookmarkStart w:id="240" w:name="_Toc15883"/>
      <w:bookmarkStart w:id="241" w:name="_Toc12274"/>
      <w:bookmarkStart w:id="242" w:name="_Toc15396631"/>
      <w:bookmarkStart w:id="243" w:name="_Toc1692"/>
      <w:r>
        <w:rPr>
          <w:rStyle w:val="30"/>
          <w:rFonts w:hint="eastAsia" w:ascii="仿宋" w:hAnsi="仿宋" w:eastAsia="仿宋"/>
          <w:b w:val="0"/>
          <w:bCs w:val="0"/>
          <w:sz w:val="28"/>
          <w:szCs w:val="28"/>
        </w:rPr>
        <w:t>十三、</w:t>
      </w:r>
      <w:r>
        <w:rPr>
          <w:rFonts w:hint="eastAsia" w:ascii="仿宋" w:hAnsi="仿宋" w:eastAsia="仿宋"/>
          <w:b w:val="0"/>
          <w:color w:val="000000"/>
          <w:sz w:val="28"/>
          <w:szCs w:val="28"/>
        </w:rPr>
        <w:t>国</w:t>
      </w:r>
      <w:r>
        <w:rPr>
          <w:rStyle w:val="30"/>
          <w:rFonts w:hint="eastAsia" w:ascii="仿宋" w:hAnsi="仿宋" w:eastAsia="仿宋"/>
          <w:b w:val="0"/>
          <w:bCs w:val="0"/>
          <w:sz w:val="28"/>
          <w:szCs w:val="28"/>
        </w:rPr>
        <w:t>有资本经营预算财政拨款收入支出决算表</w:t>
      </w:r>
      <w:bookmarkEnd w:id="239"/>
      <w:bookmarkEnd w:id="240"/>
      <w:bookmarkEnd w:id="241"/>
      <w:bookmarkEnd w:id="242"/>
      <w:r>
        <w:rPr>
          <w:rStyle w:val="25"/>
          <w:rFonts w:ascii="Times New Roman" w:hAnsi="仿宋" w:eastAsia="仿宋"/>
          <w:b w:val="0"/>
          <w:bCs w:val="0"/>
          <w:sz w:val="28"/>
          <w:szCs w:val="28"/>
        </w:rPr>
        <w:t>（此表无数据）</w:t>
      </w:r>
      <w:bookmarkEnd w:id="243"/>
    </w:p>
    <w:p>
      <w:pPr>
        <w:rPr>
          <w:rFonts w:hint="eastAsia"/>
        </w:rPr>
      </w:pPr>
      <w:r>
        <w:rPr>
          <w:rFonts w:hint="eastAsia"/>
        </w:rPr>
        <w:t>十四、</w:t>
      </w:r>
      <w:r>
        <w:rPr>
          <w:rStyle w:val="30"/>
          <w:rFonts w:hint="eastAsia" w:ascii="仿宋" w:hAnsi="仿宋" w:eastAsia="仿宋"/>
          <w:b w:val="0"/>
          <w:bCs w:val="0"/>
          <w:sz w:val="28"/>
          <w:szCs w:val="28"/>
        </w:rPr>
        <w:t>国有资本经营预算财政拨款支出决算表</w:t>
      </w:r>
      <w:r>
        <w:rPr>
          <w:rStyle w:val="25"/>
          <w:rFonts w:ascii="Times New Roman" w:hAnsi="仿宋" w:eastAsia="仿宋"/>
          <w:sz w:val="28"/>
          <w:szCs w:val="28"/>
        </w:rPr>
        <w:t>（此表无数据）</w:t>
      </w:r>
    </w:p>
    <w:sectPr>
      <w:footerReference r:id="rId9" w:type="first"/>
      <w:footerReference r:id="rId8" w:type="default"/>
      <w:pgSz w:w="11906" w:h="16838"/>
      <w:pgMar w:top="1440" w:right="1800" w:bottom="1440" w:left="1800" w:header="851" w:footer="992"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2AA40BB-A688-4306-A27E-2799F986FAFB}"/>
  </w:font>
  <w:font w:name="Arial">
    <w:panose1 w:val="020B0604020202020204"/>
    <w:charset w:val="01"/>
    <w:family w:val="swiss"/>
    <w:pitch w:val="default"/>
    <w:sig w:usb0="E0002EFF" w:usb1="C000785B" w:usb2="00000009" w:usb3="00000000" w:csb0="400001FF" w:csb1="FFFF0000"/>
    <w:embedRegular r:id="rId2" w:fontKey="{33846E4A-BDF6-4038-A59B-BF57106D7A45}"/>
  </w:font>
  <w:font w:name="黑体">
    <w:panose1 w:val="02010609060101010101"/>
    <w:charset w:val="86"/>
    <w:family w:val="auto"/>
    <w:pitch w:val="default"/>
    <w:sig w:usb0="800002BF" w:usb1="38CF7CFA" w:usb2="00000016" w:usb3="00000000" w:csb0="00040001" w:csb1="00000000"/>
    <w:embedRegular r:id="rId3" w:fontKey="{F7AEEC73-9CEA-4121-A2A9-07A55EA230E2}"/>
  </w:font>
  <w:font w:name="Courier New">
    <w:panose1 w:val="02070309020205020404"/>
    <w:charset w:val="01"/>
    <w:family w:val="modern"/>
    <w:pitch w:val="default"/>
    <w:sig w:usb0="E0002EFF" w:usb1="C0007843" w:usb2="00000009" w:usb3="00000000" w:csb0="400001FF" w:csb1="FFFF0000"/>
    <w:embedRegular r:id="rId4" w:fontKey="{0A4DD704-FE72-4B9C-9879-392A6ABD684F}"/>
  </w:font>
  <w:font w:name="Symbol">
    <w:panose1 w:val="05050102010706020507"/>
    <w:charset w:val="02"/>
    <w:family w:val="roman"/>
    <w:pitch w:val="default"/>
    <w:sig w:usb0="00000000" w:usb1="00000000" w:usb2="00000000" w:usb3="00000000" w:csb0="80000000" w:csb1="00000000"/>
    <w:embedRegular r:id="rId5" w:fontKey="{DDA9CB89-889A-42C6-AD46-27E913D0FD2D}"/>
  </w:font>
  <w:font w:name="Calibri">
    <w:panose1 w:val="020F0502020204030204"/>
    <w:charset w:val="00"/>
    <w:family w:val="swiss"/>
    <w:pitch w:val="default"/>
    <w:sig w:usb0="E4002EFF" w:usb1="C000247B" w:usb2="00000009" w:usb3="00000000" w:csb0="200001FF" w:csb1="00000000"/>
    <w:embedRegular r:id="rId6" w:fontKey="{EC8263F7-E668-4417-8EEA-1817CBF8651A}"/>
  </w:font>
  <w:font w:name="Cambria">
    <w:panose1 w:val="02040503050406030204"/>
    <w:charset w:val="00"/>
    <w:family w:val="roman"/>
    <w:pitch w:val="default"/>
    <w:sig w:usb0="E00006FF" w:usb1="420024FF" w:usb2="02000000" w:usb3="00000000" w:csb0="2000019F" w:csb1="00000000"/>
    <w:embedRegular r:id="rId7" w:fontKey="{E7A4B115-6E5E-4699-9096-A000351E5519}"/>
  </w:font>
  <w:font w:name="仿宋_GB2312">
    <w:panose1 w:val="02010609030101010101"/>
    <w:charset w:val="86"/>
    <w:family w:val="modern"/>
    <w:pitch w:val="default"/>
    <w:sig w:usb0="00000001" w:usb1="080E0000" w:usb2="00000000" w:usb3="00000000" w:csb0="00040000" w:csb1="00000000"/>
    <w:embedRegular r:id="rId8" w:fontKey="{486CE3EA-CF8A-4FEA-B72F-E5F0A1701B74}"/>
  </w:font>
  <w:font w:name="仿宋">
    <w:panose1 w:val="02010609060101010101"/>
    <w:charset w:val="86"/>
    <w:family w:val="modern"/>
    <w:pitch w:val="default"/>
    <w:sig w:usb0="800002BF" w:usb1="38CF7CFA" w:usb2="00000016" w:usb3="00000000" w:csb0="00040001" w:csb1="00000000"/>
    <w:embedRegular r:id="rId9" w:fontKey="{DD691D3F-8AA6-48AC-9647-B4C7F70A191B}"/>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10" w:fontKey="{6058921D-60E1-4843-9805-1532E0C65517}"/>
  </w:font>
  <w:font w:name="楷体">
    <w:panose1 w:val="02010609060101010101"/>
    <w:charset w:val="86"/>
    <w:family w:val="modern"/>
    <w:pitch w:val="default"/>
    <w:sig w:usb0="800002BF" w:usb1="38CF7CFA" w:usb2="00000016" w:usb3="00000000" w:csb0="00040001" w:csb1="00000000"/>
    <w:embedRegular r:id="rId11" w:fontKey="{CC4936BF-F0B3-4F61-91BD-FE9FC36107D3}"/>
  </w:font>
  <w:font w:name="方正小标宋_GBK">
    <w:panose1 w:val="03000509000000000000"/>
    <w:charset w:val="86"/>
    <w:family w:val="script"/>
    <w:pitch w:val="default"/>
    <w:sig w:usb0="00000001" w:usb1="080E0000" w:usb2="00000000" w:usb3="00000000" w:csb0="00040000" w:csb1="00000000"/>
    <w:embedRegular r:id="rId12" w:fontKey="{208F3209-B09E-452E-8182-94DE863B2A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0" b="0"/>
              <wp:wrapNone/>
              <wp:docPr id="2"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1pt;width:9.15pt;mso-position-horizontal:center;mso-position-horizontal-relative:margin;mso-wrap-style:none;z-index:251659264;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YulhTQAAAAAwEAAA8AAAAAAAAAAQAgAAAAIgAAAGRycy9k&#10;b3ducmV2LnhtbFBLAQIUABQAAAAIAIdO4kAKtvNoCgIAAAIEAAAOAAAAAAAAAAEAIAAAAB8BAABk&#10;cnMvZTJvRG9jLnhtbFBLBQYAAAAABgAGAFkBAACb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v:textbox>
            </v:shape>
          </w:pict>
        </mc:Fallback>
      </mc:AlternateContent>
    </w:r>
  </w:p>
  <w:p>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8420" cy="139700"/>
              <wp:effectExtent l="0" t="0" r="0" b="0"/>
              <wp:wrapNone/>
              <wp:docPr id="1" name="文本框 6"/>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6" o:spid="_x0000_s1026" o:spt="202" type="#_x0000_t202" style="position:absolute;left:0pt;margin-top:0pt;height:11pt;width:4.6pt;mso-position-horizontal:center;mso-position-horizontal-relative:margin;mso-wrap-style:none;z-index:251660288;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W7l30AAAAAIBAAAPAAAAAAAAAAEAIAAAACIAAABkcnMvZG93&#10;bnJldi54bWxQSwECFAAUAAAACACHTuJAKmdSwwgCAAABBAAADgAAAAAAAAABACAAAAAfAQAAZHJz&#10;L2Uyb0RvYy54bWxQSwUGAAAAAAYABgBZAQAAmQU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cs="Times New Roman"/>
      </w:rPr>
    </w:lvl>
  </w:abstractNum>
  <w:abstractNum w:abstractNumId="1">
    <w:nsid w:val="E2FA047D"/>
    <w:multiLevelType w:val="singleLevel"/>
    <w:tmpl w:val="E2FA047D"/>
    <w:lvl w:ilvl="0" w:tentative="0">
      <w:start w:val="3"/>
      <w:numFmt w:val="chineseCounting"/>
      <w:suff w:val="space"/>
      <w:lvlText w:val="第%1部分"/>
      <w:lvlJc w:val="left"/>
      <w:rPr>
        <w:rFonts w:hint="eastAsia" w:cs="Times New Roman"/>
      </w:rPr>
    </w:lvl>
  </w:abstractNum>
  <w:abstractNum w:abstractNumId="2">
    <w:nsid w:val="07E80DD5"/>
    <w:multiLevelType w:val="multilevel"/>
    <w:tmpl w:val="07E80DD5"/>
    <w:lvl w:ilvl="0" w:tentative="0">
      <w:start w:val="1"/>
      <w:numFmt w:val="decimal"/>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cs="Times New Roman"/>
        <w:b w:val="0"/>
      </w:rPr>
    </w:lvl>
    <w:lvl w:ilvl="1" w:tentative="0">
      <w:start w:val="1"/>
      <w:numFmt w:val="lowerLetter"/>
      <w:lvlText w:val="%2)"/>
      <w:lvlJc w:val="left"/>
      <w:pPr>
        <w:ind w:left="1480" w:hanging="420"/>
      </w:pPr>
      <w:rPr>
        <w:rFonts w:cs="Times New Roman"/>
      </w:rPr>
    </w:lvl>
    <w:lvl w:ilvl="2" w:tentative="0">
      <w:start w:val="1"/>
      <w:numFmt w:val="lowerRoman"/>
      <w:lvlText w:val="%3."/>
      <w:lvlJc w:val="right"/>
      <w:pPr>
        <w:ind w:left="1900" w:hanging="420"/>
      </w:pPr>
      <w:rPr>
        <w:rFonts w:cs="Times New Roman"/>
      </w:rPr>
    </w:lvl>
    <w:lvl w:ilvl="3" w:tentative="0">
      <w:start w:val="1"/>
      <w:numFmt w:val="decimal"/>
      <w:lvlText w:val="%4."/>
      <w:lvlJc w:val="left"/>
      <w:pPr>
        <w:ind w:left="2320" w:hanging="420"/>
      </w:pPr>
      <w:rPr>
        <w:rFonts w:cs="Times New Roman"/>
      </w:rPr>
    </w:lvl>
    <w:lvl w:ilvl="4" w:tentative="0">
      <w:start w:val="1"/>
      <w:numFmt w:val="lowerLetter"/>
      <w:lvlText w:val="%5)"/>
      <w:lvlJc w:val="left"/>
      <w:pPr>
        <w:ind w:left="2740" w:hanging="420"/>
      </w:pPr>
      <w:rPr>
        <w:rFonts w:cs="Times New Roman"/>
      </w:rPr>
    </w:lvl>
    <w:lvl w:ilvl="5" w:tentative="0">
      <w:start w:val="1"/>
      <w:numFmt w:val="lowerRoman"/>
      <w:lvlText w:val="%6."/>
      <w:lvlJc w:val="right"/>
      <w:pPr>
        <w:ind w:left="3160" w:hanging="420"/>
      </w:pPr>
      <w:rPr>
        <w:rFonts w:cs="Times New Roman"/>
      </w:rPr>
    </w:lvl>
    <w:lvl w:ilvl="6" w:tentative="0">
      <w:start w:val="1"/>
      <w:numFmt w:val="decimal"/>
      <w:lvlText w:val="%7."/>
      <w:lvlJc w:val="left"/>
      <w:pPr>
        <w:ind w:left="3580" w:hanging="420"/>
      </w:pPr>
      <w:rPr>
        <w:rFonts w:cs="Times New Roman"/>
      </w:rPr>
    </w:lvl>
    <w:lvl w:ilvl="7" w:tentative="0">
      <w:start w:val="1"/>
      <w:numFmt w:val="lowerLetter"/>
      <w:lvlText w:val="%8)"/>
      <w:lvlJc w:val="left"/>
      <w:pPr>
        <w:ind w:left="4000" w:hanging="420"/>
      </w:pPr>
      <w:rPr>
        <w:rFonts w:cs="Times New Roman"/>
      </w:rPr>
    </w:lvl>
    <w:lvl w:ilvl="8" w:tentative="0">
      <w:start w:val="1"/>
      <w:numFmt w:val="lowerRoman"/>
      <w:lvlText w:val="%9."/>
      <w:lvlJc w:val="right"/>
      <w:pPr>
        <w:ind w:left="4420" w:hanging="420"/>
      </w:pPr>
      <w:rPr>
        <w:rFonts w:cs="Times New Roman"/>
      </w:rPr>
    </w:lvl>
  </w:abstractNum>
  <w:abstractNum w:abstractNumId="4">
    <w:nsid w:val="537164C8"/>
    <w:multiLevelType w:val="multilevel"/>
    <w:tmpl w:val="537164C8"/>
    <w:lvl w:ilvl="0" w:tentative="0">
      <w:start w:val="1"/>
      <w:numFmt w:val="japaneseCounting"/>
      <w:lvlText w:val="（%1）"/>
      <w:lvlJc w:val="left"/>
      <w:pPr>
        <w:ind w:left="1725" w:hanging="1005"/>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VkNGUzNjExZDg5ZWZjZTE5YmFlYmVjZjE4NzM3ZTkifQ=="/>
  </w:docVars>
  <w:rsids>
    <w:rsidRoot w:val="00F1361C"/>
    <w:rsid w:val="000222C6"/>
    <w:rsid w:val="0002549F"/>
    <w:rsid w:val="000468DB"/>
    <w:rsid w:val="00056263"/>
    <w:rsid w:val="0006487A"/>
    <w:rsid w:val="00065F8F"/>
    <w:rsid w:val="00067396"/>
    <w:rsid w:val="00070A43"/>
    <w:rsid w:val="000768F2"/>
    <w:rsid w:val="0008354E"/>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03DD3"/>
    <w:rsid w:val="00114E9B"/>
    <w:rsid w:val="00115301"/>
    <w:rsid w:val="001319E1"/>
    <w:rsid w:val="00142216"/>
    <w:rsid w:val="00144D6A"/>
    <w:rsid w:val="0014729F"/>
    <w:rsid w:val="001472D0"/>
    <w:rsid w:val="00157BAB"/>
    <w:rsid w:val="00164891"/>
    <w:rsid w:val="00164D46"/>
    <w:rsid w:val="001654D1"/>
    <w:rsid w:val="0017080B"/>
    <w:rsid w:val="00174518"/>
    <w:rsid w:val="0018106D"/>
    <w:rsid w:val="001877A7"/>
    <w:rsid w:val="00191536"/>
    <w:rsid w:val="00195D33"/>
    <w:rsid w:val="00196687"/>
    <w:rsid w:val="001C0962"/>
    <w:rsid w:val="001C0C2C"/>
    <w:rsid w:val="001C1B95"/>
    <w:rsid w:val="001D7531"/>
    <w:rsid w:val="001E407B"/>
    <w:rsid w:val="001E737D"/>
    <w:rsid w:val="001F0592"/>
    <w:rsid w:val="001F7506"/>
    <w:rsid w:val="002006CD"/>
    <w:rsid w:val="00202B36"/>
    <w:rsid w:val="00204B7A"/>
    <w:rsid w:val="00204CDE"/>
    <w:rsid w:val="0021101A"/>
    <w:rsid w:val="00220536"/>
    <w:rsid w:val="00235629"/>
    <w:rsid w:val="00256262"/>
    <w:rsid w:val="00260C38"/>
    <w:rsid w:val="002616C0"/>
    <w:rsid w:val="00262E6E"/>
    <w:rsid w:val="002638CA"/>
    <w:rsid w:val="00265372"/>
    <w:rsid w:val="002662AA"/>
    <w:rsid w:val="00280496"/>
    <w:rsid w:val="00294DC9"/>
    <w:rsid w:val="00295495"/>
    <w:rsid w:val="002A12C2"/>
    <w:rsid w:val="002A31DE"/>
    <w:rsid w:val="002B2613"/>
    <w:rsid w:val="002D6D05"/>
    <w:rsid w:val="002E54A9"/>
    <w:rsid w:val="002F1818"/>
    <w:rsid w:val="002F3E94"/>
    <w:rsid w:val="002F567B"/>
    <w:rsid w:val="003216A9"/>
    <w:rsid w:val="00335A74"/>
    <w:rsid w:val="0036561B"/>
    <w:rsid w:val="0037013F"/>
    <w:rsid w:val="00380C92"/>
    <w:rsid w:val="003A4197"/>
    <w:rsid w:val="003A484F"/>
    <w:rsid w:val="003A4883"/>
    <w:rsid w:val="003B0BE0"/>
    <w:rsid w:val="003B0C1B"/>
    <w:rsid w:val="003B688C"/>
    <w:rsid w:val="003C0291"/>
    <w:rsid w:val="003C39AE"/>
    <w:rsid w:val="003C7B60"/>
    <w:rsid w:val="003D0C0F"/>
    <w:rsid w:val="003D1FB2"/>
    <w:rsid w:val="003D66DA"/>
    <w:rsid w:val="003E1310"/>
    <w:rsid w:val="003E6F55"/>
    <w:rsid w:val="003F3FE2"/>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269D7"/>
    <w:rsid w:val="0055748A"/>
    <w:rsid w:val="005664BB"/>
    <w:rsid w:val="00566FFA"/>
    <w:rsid w:val="00572036"/>
    <w:rsid w:val="0057481D"/>
    <w:rsid w:val="0058486E"/>
    <w:rsid w:val="00585B33"/>
    <w:rsid w:val="005873D1"/>
    <w:rsid w:val="0059014D"/>
    <w:rsid w:val="005974A7"/>
    <w:rsid w:val="005B5C64"/>
    <w:rsid w:val="005C5337"/>
    <w:rsid w:val="005C6BD0"/>
    <w:rsid w:val="005D1C8B"/>
    <w:rsid w:val="005D3916"/>
    <w:rsid w:val="005D468D"/>
    <w:rsid w:val="005D5CED"/>
    <w:rsid w:val="005F1A4C"/>
    <w:rsid w:val="00605688"/>
    <w:rsid w:val="006070AF"/>
    <w:rsid w:val="00607E6C"/>
    <w:rsid w:val="006101B1"/>
    <w:rsid w:val="00614E44"/>
    <w:rsid w:val="00616C70"/>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C4AEE"/>
    <w:rsid w:val="006E1E48"/>
    <w:rsid w:val="006F020C"/>
    <w:rsid w:val="007127B7"/>
    <w:rsid w:val="0071798E"/>
    <w:rsid w:val="007416B6"/>
    <w:rsid w:val="00746F48"/>
    <w:rsid w:val="0075404D"/>
    <w:rsid w:val="0076182A"/>
    <w:rsid w:val="00767B7E"/>
    <w:rsid w:val="007770C3"/>
    <w:rsid w:val="00777AF7"/>
    <w:rsid w:val="007842FA"/>
    <w:rsid w:val="00784D24"/>
    <w:rsid w:val="00785FBA"/>
    <w:rsid w:val="00786BA9"/>
    <w:rsid w:val="00786E4A"/>
    <w:rsid w:val="007875EB"/>
    <w:rsid w:val="0079426B"/>
    <w:rsid w:val="007D1682"/>
    <w:rsid w:val="007D312A"/>
    <w:rsid w:val="007D3F19"/>
    <w:rsid w:val="007E0923"/>
    <w:rsid w:val="007E23B0"/>
    <w:rsid w:val="007E23E5"/>
    <w:rsid w:val="007F1991"/>
    <w:rsid w:val="007F2C2F"/>
    <w:rsid w:val="007F55FC"/>
    <w:rsid w:val="007F5665"/>
    <w:rsid w:val="00800112"/>
    <w:rsid w:val="00813348"/>
    <w:rsid w:val="008147A1"/>
    <w:rsid w:val="008253BB"/>
    <w:rsid w:val="0083706E"/>
    <w:rsid w:val="008408F6"/>
    <w:rsid w:val="008423A5"/>
    <w:rsid w:val="00850625"/>
    <w:rsid w:val="00853718"/>
    <w:rsid w:val="00855221"/>
    <w:rsid w:val="00860645"/>
    <w:rsid w:val="00871F71"/>
    <w:rsid w:val="00872FD8"/>
    <w:rsid w:val="00885AF4"/>
    <w:rsid w:val="008939CD"/>
    <w:rsid w:val="008B74E3"/>
    <w:rsid w:val="008B768C"/>
    <w:rsid w:val="008C4DB1"/>
    <w:rsid w:val="008C4EAF"/>
    <w:rsid w:val="008C5176"/>
    <w:rsid w:val="008C7FD0"/>
    <w:rsid w:val="008E1DE7"/>
    <w:rsid w:val="008E707C"/>
    <w:rsid w:val="008F2B0F"/>
    <w:rsid w:val="00900B08"/>
    <w:rsid w:val="00902155"/>
    <w:rsid w:val="00902FA3"/>
    <w:rsid w:val="00923564"/>
    <w:rsid w:val="0092392E"/>
    <w:rsid w:val="009315F9"/>
    <w:rsid w:val="00933499"/>
    <w:rsid w:val="009334D8"/>
    <w:rsid w:val="00935C98"/>
    <w:rsid w:val="00946945"/>
    <w:rsid w:val="00951248"/>
    <w:rsid w:val="0095152F"/>
    <w:rsid w:val="00954C49"/>
    <w:rsid w:val="00955E37"/>
    <w:rsid w:val="00956539"/>
    <w:rsid w:val="0097099F"/>
    <w:rsid w:val="00971997"/>
    <w:rsid w:val="00971FFC"/>
    <w:rsid w:val="00973770"/>
    <w:rsid w:val="0098660A"/>
    <w:rsid w:val="009931C3"/>
    <w:rsid w:val="009B2C43"/>
    <w:rsid w:val="009B4EAE"/>
    <w:rsid w:val="009B7573"/>
    <w:rsid w:val="009C22F4"/>
    <w:rsid w:val="009C2A4B"/>
    <w:rsid w:val="009C2E98"/>
    <w:rsid w:val="009D3447"/>
    <w:rsid w:val="009D4711"/>
    <w:rsid w:val="009E22DB"/>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69BF"/>
    <w:rsid w:val="00A67AB5"/>
    <w:rsid w:val="00A733B2"/>
    <w:rsid w:val="00A741C2"/>
    <w:rsid w:val="00A91760"/>
    <w:rsid w:val="00A93B00"/>
    <w:rsid w:val="00A93C21"/>
    <w:rsid w:val="00AA0114"/>
    <w:rsid w:val="00AA501F"/>
    <w:rsid w:val="00AB64C9"/>
    <w:rsid w:val="00AC1A96"/>
    <w:rsid w:val="00AC3C6A"/>
    <w:rsid w:val="00AD1D6F"/>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4634D"/>
    <w:rsid w:val="00B506E8"/>
    <w:rsid w:val="00B529E6"/>
    <w:rsid w:val="00B53C56"/>
    <w:rsid w:val="00B57DAF"/>
    <w:rsid w:val="00B77EA6"/>
    <w:rsid w:val="00B81598"/>
    <w:rsid w:val="00B81DA8"/>
    <w:rsid w:val="00B841F1"/>
    <w:rsid w:val="00B90E4E"/>
    <w:rsid w:val="00B944D6"/>
    <w:rsid w:val="00B965DC"/>
    <w:rsid w:val="00BB4DF0"/>
    <w:rsid w:val="00BC289F"/>
    <w:rsid w:val="00BC2D50"/>
    <w:rsid w:val="00BC5361"/>
    <w:rsid w:val="00BC5460"/>
    <w:rsid w:val="00BC6B50"/>
    <w:rsid w:val="00BD0E25"/>
    <w:rsid w:val="00BF57CA"/>
    <w:rsid w:val="00BF5BD6"/>
    <w:rsid w:val="00C03E31"/>
    <w:rsid w:val="00C11C3C"/>
    <w:rsid w:val="00C176F7"/>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15C"/>
    <w:rsid w:val="00D34E7C"/>
    <w:rsid w:val="00D35489"/>
    <w:rsid w:val="00D36AFE"/>
    <w:rsid w:val="00D51276"/>
    <w:rsid w:val="00D6094F"/>
    <w:rsid w:val="00D7035F"/>
    <w:rsid w:val="00DA634F"/>
    <w:rsid w:val="00DA65AC"/>
    <w:rsid w:val="00DB0216"/>
    <w:rsid w:val="00DB1913"/>
    <w:rsid w:val="00DC410D"/>
    <w:rsid w:val="00DC5A81"/>
    <w:rsid w:val="00DC68CA"/>
    <w:rsid w:val="00DC7CBA"/>
    <w:rsid w:val="00DD73B7"/>
    <w:rsid w:val="00DF28BC"/>
    <w:rsid w:val="00DF34B9"/>
    <w:rsid w:val="00E001FF"/>
    <w:rsid w:val="00E01053"/>
    <w:rsid w:val="00E07ACF"/>
    <w:rsid w:val="00E32CAD"/>
    <w:rsid w:val="00E331A1"/>
    <w:rsid w:val="00E33202"/>
    <w:rsid w:val="00E336A9"/>
    <w:rsid w:val="00E472B1"/>
    <w:rsid w:val="00E50624"/>
    <w:rsid w:val="00E5581E"/>
    <w:rsid w:val="00E568DF"/>
    <w:rsid w:val="00E6011D"/>
    <w:rsid w:val="00E64269"/>
    <w:rsid w:val="00E82267"/>
    <w:rsid w:val="00E853CE"/>
    <w:rsid w:val="00E867B6"/>
    <w:rsid w:val="00EA010F"/>
    <w:rsid w:val="00ED1B63"/>
    <w:rsid w:val="00ED3C1F"/>
    <w:rsid w:val="00ED4085"/>
    <w:rsid w:val="00ED420E"/>
    <w:rsid w:val="00ED6FBE"/>
    <w:rsid w:val="00EE2F57"/>
    <w:rsid w:val="00EF4C34"/>
    <w:rsid w:val="00EF60EF"/>
    <w:rsid w:val="00EF77C6"/>
    <w:rsid w:val="00F05438"/>
    <w:rsid w:val="00F1361C"/>
    <w:rsid w:val="00F156F0"/>
    <w:rsid w:val="00F160C7"/>
    <w:rsid w:val="00F2408F"/>
    <w:rsid w:val="00F240E9"/>
    <w:rsid w:val="00F36D8F"/>
    <w:rsid w:val="00F3771C"/>
    <w:rsid w:val="00F417B1"/>
    <w:rsid w:val="00F45853"/>
    <w:rsid w:val="00F51146"/>
    <w:rsid w:val="00F602DF"/>
    <w:rsid w:val="00F64E4C"/>
    <w:rsid w:val="00F754A1"/>
    <w:rsid w:val="00F75B07"/>
    <w:rsid w:val="00F81FD9"/>
    <w:rsid w:val="00F841AA"/>
    <w:rsid w:val="00F84A94"/>
    <w:rsid w:val="00F87E96"/>
    <w:rsid w:val="00FA23E8"/>
    <w:rsid w:val="00FC3BEE"/>
    <w:rsid w:val="00FD3CC1"/>
    <w:rsid w:val="00FF1E02"/>
    <w:rsid w:val="00FF30B4"/>
    <w:rsid w:val="09E01E4F"/>
    <w:rsid w:val="0A2032A3"/>
    <w:rsid w:val="0BA35D5B"/>
    <w:rsid w:val="10C055FF"/>
    <w:rsid w:val="118107EC"/>
    <w:rsid w:val="16BB723D"/>
    <w:rsid w:val="18125500"/>
    <w:rsid w:val="1D155CEE"/>
    <w:rsid w:val="21412616"/>
    <w:rsid w:val="22C133B1"/>
    <w:rsid w:val="240371BF"/>
    <w:rsid w:val="29FD04D3"/>
    <w:rsid w:val="2E2B52A4"/>
    <w:rsid w:val="319F7F4E"/>
    <w:rsid w:val="33E279B6"/>
    <w:rsid w:val="3EF23B8C"/>
    <w:rsid w:val="43306E93"/>
    <w:rsid w:val="4ECE2238"/>
    <w:rsid w:val="4FE35B12"/>
    <w:rsid w:val="515912F5"/>
    <w:rsid w:val="528A1B53"/>
    <w:rsid w:val="529945CE"/>
    <w:rsid w:val="53325355"/>
    <w:rsid w:val="598738C8"/>
    <w:rsid w:val="6C4A05C8"/>
    <w:rsid w:val="6DB540C9"/>
    <w:rsid w:val="72734D90"/>
    <w:rsid w:val="74154452"/>
    <w:rsid w:val="77213394"/>
    <w:rsid w:val="7D012C11"/>
    <w:rsid w:val="7E547167"/>
    <w:rsid w:val="7E5C6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0"/>
    <w:qFormat/>
    <w:uiPriority w:val="9"/>
    <w:pPr>
      <w:keepNext/>
      <w:keepLines/>
      <w:spacing w:before="260" w:after="260" w:line="416" w:lineRule="auto"/>
      <w:outlineLvl w:val="1"/>
    </w:pPr>
    <w:rPr>
      <w:rFonts w:ascii="Cambria" w:hAnsi="Cambria"/>
      <w:b/>
      <w:bCs/>
      <w:sz w:val="32"/>
      <w:szCs w:val="32"/>
    </w:rPr>
  </w:style>
  <w:style w:type="paragraph" w:styleId="6">
    <w:name w:val="heading 3"/>
    <w:basedOn w:val="1"/>
    <w:next w:val="1"/>
    <w:link w:val="28"/>
    <w:qFormat/>
    <w:uiPriority w:val="9"/>
    <w:pPr>
      <w:keepNext/>
      <w:keepLines/>
      <w:spacing w:before="260" w:after="260" w:line="416" w:lineRule="auto"/>
      <w:outlineLvl w:val="2"/>
    </w:pPr>
    <w:rPr>
      <w:b/>
      <w:bCs/>
      <w:sz w:val="32"/>
      <w:szCs w:val="32"/>
    </w:rPr>
  </w:style>
  <w:style w:type="character" w:default="1" w:styleId="16">
    <w:name w:val="Default Paragraph Font"/>
    <w:unhideWhenUsed/>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customStyle="1" w:styleId="2">
    <w:name w:val="图表目录1"/>
    <w:basedOn w:val="3"/>
    <w:next w:val="1"/>
    <w:qFormat/>
    <w:uiPriority w:val="0"/>
    <w:pPr>
      <w:ind w:left="200" w:leftChars="200" w:hanging="200" w:hangingChars="200"/>
    </w:pPr>
  </w:style>
  <w:style w:type="paragraph" w:customStyle="1" w:styleId="3">
    <w:name w:val="Normal New"/>
    <w:qFormat/>
    <w:uiPriority w:val="0"/>
    <w:pPr>
      <w:widowControl w:val="0"/>
      <w:jc w:val="both"/>
    </w:pPr>
    <w:rPr>
      <w:rFonts w:hint="eastAsia" w:ascii="Calibri" w:hAnsi="Calibri" w:eastAsia="宋体" w:cs="Times New Roman"/>
      <w:kern w:val="2"/>
      <w:sz w:val="21"/>
      <w:szCs w:val="22"/>
      <w:lang w:val="en-US" w:eastAsia="zh-CN" w:bidi="ar-SA"/>
    </w:rPr>
  </w:style>
  <w:style w:type="paragraph" w:styleId="7">
    <w:name w:val="Body Text"/>
    <w:basedOn w:val="1"/>
    <w:link w:val="19"/>
    <w:qFormat/>
    <w:uiPriority w:val="99"/>
    <w:pPr>
      <w:spacing w:beforeLines="30"/>
    </w:pPr>
    <w:rPr>
      <w:rFonts w:ascii="仿宋_GB2312" w:eastAsia="仿宋_GB2312"/>
      <w:kern w:val="0"/>
      <w:sz w:val="24"/>
      <w:szCs w:val="20"/>
    </w:rPr>
  </w:style>
  <w:style w:type="paragraph" w:styleId="8">
    <w:name w:val="toc 3"/>
    <w:basedOn w:val="1"/>
    <w:next w:val="1"/>
    <w:unhideWhenUsed/>
    <w:qFormat/>
    <w:uiPriority w:val="39"/>
    <w:pPr>
      <w:tabs>
        <w:tab w:val="right" w:leader="dot" w:pos="8296"/>
      </w:tabs>
      <w:ind w:left="840" w:leftChars="400"/>
    </w:pPr>
  </w:style>
  <w:style w:type="paragraph" w:styleId="9">
    <w:name w:val="Plain Text"/>
    <w:basedOn w:val="1"/>
    <w:qFormat/>
    <w:uiPriority w:val="0"/>
    <w:rPr>
      <w:rFonts w:ascii="宋体" w:hAnsi="Courier New"/>
    </w:rPr>
  </w:style>
  <w:style w:type="paragraph" w:styleId="10">
    <w:name w:val="Balloon Text"/>
    <w:basedOn w:val="1"/>
    <w:link w:val="24"/>
    <w:unhideWhenUsed/>
    <w:qFormat/>
    <w:uiPriority w:val="99"/>
    <w:rPr>
      <w:sz w:val="18"/>
      <w:szCs w:val="18"/>
    </w:rPr>
  </w:style>
  <w:style w:type="paragraph" w:styleId="11">
    <w:name w:val="footer"/>
    <w:basedOn w:val="1"/>
    <w:link w:val="23"/>
    <w:qFormat/>
    <w:uiPriority w:val="99"/>
    <w:pPr>
      <w:tabs>
        <w:tab w:val="center" w:pos="4153"/>
        <w:tab w:val="right" w:pos="8306"/>
      </w:tabs>
      <w:snapToGrid w:val="0"/>
      <w:jc w:val="left"/>
    </w:pPr>
    <w:rPr>
      <w:rFonts w:ascii="Calibri" w:hAnsi="Calibri"/>
      <w:kern w:val="0"/>
      <w:sz w:val="18"/>
      <w:szCs w:val="20"/>
    </w:rPr>
  </w:style>
  <w:style w:type="paragraph" w:styleId="12">
    <w:name w:val="header"/>
    <w:basedOn w:val="1"/>
    <w:link w:val="22"/>
    <w:semiHidden/>
    <w:qFormat/>
    <w:uiPriority w:val="99"/>
    <w:pPr>
      <w:pBdr>
        <w:bottom w:val="single" w:color="auto" w:sz="6" w:space="1"/>
      </w:pBdr>
      <w:tabs>
        <w:tab w:val="center" w:pos="4153"/>
        <w:tab w:val="right" w:pos="8306"/>
      </w:tabs>
      <w:snapToGrid w:val="0"/>
      <w:jc w:val="center"/>
    </w:pPr>
    <w:rPr>
      <w:rFonts w:ascii="Calibri" w:hAnsi="Calibri"/>
      <w:kern w:val="0"/>
      <w:sz w:val="18"/>
      <w:szCs w:val="20"/>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toc 2"/>
    <w:basedOn w:val="1"/>
    <w:next w:val="1"/>
    <w:unhideWhenUsed/>
    <w:qFormat/>
    <w:uiPriority w:val="39"/>
    <w:pPr>
      <w:tabs>
        <w:tab w:val="right" w:leader="dot" w:pos="8296"/>
      </w:tabs>
      <w:ind w:left="420" w:leftChars="200"/>
    </w:pPr>
  </w:style>
  <w:style w:type="character" w:styleId="17">
    <w:name w:val="Strong"/>
    <w:basedOn w:val="16"/>
    <w:qFormat/>
    <w:uiPriority w:val="99"/>
    <w:rPr>
      <w:rFonts w:cs="Times New Roman"/>
      <w:b/>
    </w:rPr>
  </w:style>
  <w:style w:type="character" w:styleId="18">
    <w:name w:val="Hyperlink"/>
    <w:unhideWhenUsed/>
    <w:qFormat/>
    <w:uiPriority w:val="99"/>
    <w:rPr>
      <w:rFonts w:cs="Times New Roman"/>
      <w:color w:val="0000FF"/>
      <w:u w:val="single"/>
    </w:rPr>
  </w:style>
  <w:style w:type="character" w:customStyle="1" w:styleId="19">
    <w:name w:val="正文文本 字符"/>
    <w:link w:val="7"/>
    <w:qFormat/>
    <w:locked/>
    <w:uiPriority w:val="99"/>
    <w:rPr>
      <w:rFonts w:ascii="仿宋_GB2312" w:hAnsi="Times New Roman" w:eastAsia="仿宋_GB2312"/>
      <w:sz w:val="24"/>
    </w:rPr>
  </w:style>
  <w:style w:type="character" w:customStyle="1" w:styleId="20">
    <w:name w:val="标题 1 字符1"/>
    <w:link w:val="4"/>
    <w:qFormat/>
    <w:locked/>
    <w:uiPriority w:val="9"/>
    <w:rPr>
      <w:rFonts w:ascii="Times New Roman" w:hAnsi="Times New Roman" w:cs="Times New Roman"/>
      <w:b/>
      <w:bCs/>
      <w:kern w:val="44"/>
      <w:sz w:val="44"/>
      <w:szCs w:val="44"/>
    </w:rPr>
  </w:style>
  <w:style w:type="character" w:customStyle="1" w:styleId="21">
    <w:name w:val="Body Text Char"/>
    <w:semiHidden/>
    <w:qFormat/>
    <w:uiPriority w:val="99"/>
    <w:rPr>
      <w:rFonts w:ascii="Times New Roman" w:hAnsi="Times New Roman" w:cs="Times New Roman"/>
      <w:sz w:val="24"/>
      <w:szCs w:val="24"/>
    </w:rPr>
  </w:style>
  <w:style w:type="character" w:customStyle="1" w:styleId="22">
    <w:name w:val="页眉 字符"/>
    <w:link w:val="12"/>
    <w:semiHidden/>
    <w:qFormat/>
    <w:locked/>
    <w:uiPriority w:val="99"/>
    <w:rPr>
      <w:sz w:val="18"/>
    </w:rPr>
  </w:style>
  <w:style w:type="character" w:customStyle="1" w:styleId="23">
    <w:name w:val="页脚 字符"/>
    <w:link w:val="11"/>
    <w:qFormat/>
    <w:locked/>
    <w:uiPriority w:val="99"/>
    <w:rPr>
      <w:sz w:val="18"/>
    </w:rPr>
  </w:style>
  <w:style w:type="character" w:customStyle="1" w:styleId="24">
    <w:name w:val="批注框文本 字符"/>
    <w:link w:val="10"/>
    <w:semiHidden/>
    <w:qFormat/>
    <w:locked/>
    <w:uiPriority w:val="99"/>
    <w:rPr>
      <w:rFonts w:ascii="Times New Roman" w:hAnsi="Times New Roman" w:cs="Times New Roman"/>
      <w:kern w:val="2"/>
      <w:sz w:val="18"/>
      <w:szCs w:val="18"/>
    </w:rPr>
  </w:style>
  <w:style w:type="character" w:customStyle="1" w:styleId="25">
    <w:name w:val="标题 2 字符1"/>
    <w:link w:val="5"/>
    <w:qFormat/>
    <w:locked/>
    <w:uiPriority w:val="9"/>
    <w:rPr>
      <w:rFonts w:ascii="Cambria" w:hAnsi="Cambria" w:eastAsia="宋体" w:cs="Times New Roman"/>
      <w:b/>
      <w:bCs/>
      <w:kern w:val="2"/>
      <w:sz w:val="32"/>
      <w:szCs w:val="32"/>
    </w:rPr>
  </w:style>
  <w:style w:type="character" w:customStyle="1" w:styleId="26">
    <w:name w:val="标题 1 字符"/>
    <w:link w:val="4"/>
    <w:qFormat/>
    <w:locked/>
    <w:uiPriority w:val="9"/>
    <w:rPr>
      <w:rFonts w:ascii="Times New Roman" w:hAnsi="Times New Roman" w:cs="Times New Roman"/>
      <w:b/>
      <w:bCs/>
      <w:kern w:val="44"/>
      <w:sz w:val="44"/>
      <w:szCs w:val="44"/>
    </w:rPr>
  </w:style>
  <w:style w:type="character" w:customStyle="1" w:styleId="27">
    <w:name w:val="Footer Char"/>
    <w:semiHidden/>
    <w:qFormat/>
    <w:uiPriority w:val="99"/>
    <w:rPr>
      <w:rFonts w:ascii="Times New Roman" w:hAnsi="Times New Roman" w:cs="Times New Roman"/>
      <w:sz w:val="18"/>
      <w:szCs w:val="18"/>
    </w:rPr>
  </w:style>
  <w:style w:type="character" w:customStyle="1" w:styleId="28">
    <w:name w:val="标题 3 字符"/>
    <w:link w:val="6"/>
    <w:qFormat/>
    <w:locked/>
    <w:uiPriority w:val="9"/>
    <w:rPr>
      <w:rFonts w:ascii="Times New Roman" w:hAnsi="Times New Roman" w:cs="Times New Roman"/>
      <w:b/>
      <w:bCs/>
      <w:kern w:val="2"/>
      <w:sz w:val="32"/>
      <w:szCs w:val="32"/>
    </w:rPr>
  </w:style>
  <w:style w:type="character" w:customStyle="1" w:styleId="29">
    <w:name w:val="Header Char"/>
    <w:semiHidden/>
    <w:qFormat/>
    <w:uiPriority w:val="99"/>
    <w:rPr>
      <w:rFonts w:ascii="Times New Roman" w:hAnsi="Times New Roman" w:cs="Times New Roman"/>
      <w:sz w:val="18"/>
      <w:szCs w:val="18"/>
    </w:rPr>
  </w:style>
  <w:style w:type="character" w:customStyle="1" w:styleId="30">
    <w:name w:val="标题 2 字符"/>
    <w:link w:val="5"/>
    <w:qFormat/>
    <w:locked/>
    <w:uiPriority w:val="9"/>
    <w:rPr>
      <w:rFonts w:ascii="Cambria" w:hAnsi="Cambria" w:eastAsia="宋体" w:cs="Times New Roman"/>
      <w:b/>
      <w:bCs/>
      <w:kern w:val="2"/>
      <w:sz w:val="32"/>
      <w:szCs w:val="32"/>
    </w:rPr>
  </w:style>
  <w:style w:type="paragraph" w:customStyle="1" w:styleId="31">
    <w:name w:val="Default"/>
    <w:qFormat/>
    <w:uiPriority w:val="99"/>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customStyle="1" w:styleId="32">
    <w:name w:val="WPSOffice手动目录 2"/>
    <w:qFormat/>
    <w:uiPriority w:val="0"/>
    <w:pPr>
      <w:ind w:leftChars="200"/>
    </w:pPr>
    <w:rPr>
      <w:rFonts w:ascii="Times New Roman" w:hAnsi="Times New Roman" w:eastAsia="宋体" w:cs="Times New Roman"/>
      <w:sz w:val="21"/>
      <w:szCs w:val="22"/>
      <w:lang w:val="en-US" w:eastAsia="zh-CN" w:bidi="ar-SA"/>
    </w:rPr>
  </w:style>
  <w:style w:type="paragraph" w:customStyle="1" w:styleId="33">
    <w:name w:val="WPSOffice手动目录 1"/>
    <w:qFormat/>
    <w:uiPriority w:val="0"/>
    <w:rPr>
      <w:rFonts w:ascii="Times New Roman" w:hAnsi="Times New Roman" w:eastAsia="宋体" w:cs="Times New Roman"/>
      <w:sz w:val="21"/>
      <w:szCs w:val="22"/>
      <w:lang w:val="en-US" w:eastAsia="zh-CN" w:bidi="ar-SA"/>
    </w:rPr>
  </w:style>
  <w:style w:type="paragraph" w:customStyle="1" w:styleId="34">
    <w:name w:val="TOC 标题1"/>
    <w:basedOn w:val="4"/>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35">
    <w:name w:val="TOC Heading1"/>
    <w:basedOn w:val="4"/>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36">
    <w:name w:val="List Paragraph"/>
    <w:basedOn w:val="1"/>
    <w:qFormat/>
    <w:uiPriority w:val="34"/>
    <w:pPr>
      <w:ind w:firstLine="420" w:firstLineChars="200"/>
    </w:pPr>
  </w:style>
  <w:style w:type="paragraph" w:customStyle="1" w:styleId="37">
    <w:name w:val="WPSOffice手动目录 3"/>
    <w:uiPriority w:val="0"/>
    <w:pPr>
      <w:ind w:leftChars="400"/>
    </w:pPr>
    <w:rPr>
      <w:rFonts w:ascii="Times New Roman" w:hAnsi="Times New Roman" w:eastAsia="宋体" w:cs="Times New Roman"/>
      <w:lang w:val="en-US" w:eastAsia="zh-CN" w:bidi="ar-SA"/>
    </w:rPr>
  </w:style>
  <w:style w:type="paragraph" w:customStyle="1" w:styleId="38">
    <w:name w:val="TOC Heading"/>
    <w:basedOn w:val="4"/>
    <w:next w:val="1"/>
    <w:qFormat/>
    <w:uiPriority w:val="39"/>
    <w:pPr>
      <w:widowControl/>
      <w:spacing w:before="480" w:after="0" w:line="276" w:lineRule="auto"/>
      <w:jc w:val="left"/>
      <w:outlineLvl w:val="9"/>
    </w:pPr>
    <w:rPr>
      <w:rFonts w:ascii="Cambria" w:hAnsi="Cambria"/>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52</Pages>
  <Words>20774</Words>
  <Characters>22485</Characters>
  <Lines>36</Lines>
  <Paragraphs>50</Paragraphs>
  <TotalTime>1</TotalTime>
  <ScaleCrop>false</ScaleCrop>
  <LinksUpToDate>false</LinksUpToDate>
  <CharactersWithSpaces>22664</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2021-10-20T07:48:00Z</dcterms:created>
  <dc:creator>曹颖</dc:creator>
  <cp:lastModifiedBy>张捷</cp:lastModifiedBy>
  <cp:lastPrinted>2021-07-29T03:56:00Z</cp:lastPrinted>
  <dcterms:modified xsi:type="dcterms:W3CDTF">2022-08-04T10:58:59Z</dcterms:modified>
  <dc:title>四川省***</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9CC996147370468F950DB93D2328C422</vt:lpwstr>
  </property>
  <property fmtid="{D5CDD505-2E9C-101B-9397-08002B2CF9AE}" pid="4" name="KSOSaveFontToCloudKey">
    <vt:lpwstr>298656369_embed</vt:lpwstr>
  </property>
</Properties>
</file>