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96475"/>
      <w:bookmarkStart w:id="4" w:name="_Toc15378441"/>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47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水利局单位决算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rPr>
          <w:highlight w:val="yellow"/>
        </w:rPr>
      </w:pPr>
      <w:r>
        <w:rPr>
          <w:rFonts w:hint="eastAsia"/>
        </w:rPr>
        <w:t>公开时间：2023年9月</w:t>
      </w:r>
      <w:r>
        <w:t>12</w:t>
      </w:r>
      <w:r>
        <w:rPr>
          <w:rFonts w:hint="eastAsia"/>
        </w:rPr>
        <w:t>日</w:t>
      </w:r>
    </w:p>
    <w:p/>
    <w:p>
      <w:pPr>
        <w:pStyle w:val="10"/>
        <w:adjustRightInd w:val="0"/>
        <w:snapToGrid w:val="0"/>
        <w:spacing w:before="0" w:line="600" w:lineRule="exact"/>
        <w:jc w:val="left"/>
        <w:rPr>
          <w:rFonts w:ascii="Times New Roman" w:hAnsi="Times New Roman"/>
          <w:sz w:val="32"/>
          <w:szCs w:val="32"/>
        </w:rPr>
      </w:pPr>
      <w:r>
        <w:rPr>
          <w:rFonts w:hint="eastAsia"/>
          <w:sz w:val="32"/>
          <w:szCs w:val="32"/>
        </w:rPr>
        <w:t>第一部分单位概况</w:t>
      </w:r>
      <w:r>
        <w:rPr>
          <w:rFonts w:cstheme="minorBidi"/>
          <w:sz w:val="32"/>
          <w:szCs w:val="32"/>
        </w:rPr>
        <w:tab/>
      </w:r>
      <w:r>
        <w:rPr>
          <w:rFonts w:ascii="Times New Roman" w:hAnsi="Times New Roman"/>
          <w:sz w:val="32"/>
          <w:szCs w:val="32"/>
        </w:rPr>
        <w:t>1</w:t>
      </w:r>
    </w:p>
    <w:p>
      <w:pPr>
        <w:pStyle w:val="11"/>
        <w:adjustRightInd w:val="0"/>
        <w:snapToGrid w:val="0"/>
        <w:spacing w:line="600" w:lineRule="exact"/>
        <w:jc w:val="left"/>
        <w:rPr>
          <w:rFonts w:eastAsia="仿宋_GB2312"/>
          <w:sz w:val="30"/>
          <w:szCs w:val="30"/>
        </w:rPr>
      </w:pPr>
      <w:r>
        <w:rPr>
          <w:rFonts w:eastAsia="仿宋_GB2312"/>
          <w:sz w:val="30"/>
          <w:szCs w:val="30"/>
        </w:rPr>
        <w:t>一、主要职责</w:t>
      </w:r>
      <w:r>
        <w:rPr>
          <w:rFonts w:eastAsia="仿宋_GB2312"/>
          <w:sz w:val="30"/>
          <w:szCs w:val="30"/>
        </w:rPr>
        <w:tab/>
      </w:r>
      <w:r>
        <w:rPr>
          <w:rFonts w:eastAsia="仿宋_GB2312"/>
          <w:sz w:val="30"/>
          <w:szCs w:val="30"/>
        </w:rPr>
        <w:t>1</w:t>
      </w:r>
    </w:p>
    <w:p>
      <w:pPr>
        <w:pStyle w:val="11"/>
        <w:adjustRightInd w:val="0"/>
        <w:snapToGrid w:val="0"/>
        <w:spacing w:line="600" w:lineRule="exact"/>
        <w:jc w:val="left"/>
        <w:rPr>
          <w:sz w:val="32"/>
          <w:szCs w:val="32"/>
        </w:rPr>
      </w:pPr>
      <w:r>
        <w:rPr>
          <w:rFonts w:eastAsia="仿宋_GB2312"/>
          <w:sz w:val="30"/>
          <w:szCs w:val="30"/>
        </w:rPr>
        <w:t>二、机构设置</w:t>
      </w:r>
      <w:r>
        <w:rPr>
          <w:sz w:val="30"/>
          <w:szCs w:val="30"/>
        </w:rPr>
        <w:tab/>
      </w:r>
      <w:r>
        <w:rPr>
          <w:sz w:val="30"/>
          <w:szCs w:val="30"/>
        </w:rPr>
        <w:t>2</w:t>
      </w:r>
    </w:p>
    <w:p>
      <w:pPr>
        <w:pStyle w:val="10"/>
        <w:adjustRightInd w:val="0"/>
        <w:snapToGrid w:val="0"/>
        <w:spacing w:before="0" w:line="600" w:lineRule="exact"/>
        <w:jc w:val="left"/>
        <w:rPr>
          <w:rFonts w:ascii="Times New Roman" w:hAnsi="Times New Roman"/>
          <w:sz w:val="32"/>
          <w:szCs w:val="32"/>
        </w:rPr>
      </w:pPr>
      <w:r>
        <w:rPr>
          <w:rFonts w:ascii="Times New Roman" w:hAnsi="Times New Roman"/>
          <w:sz w:val="32"/>
          <w:szCs w:val="32"/>
        </w:rPr>
        <w:t>第二部分 2022年度单位决算情况说明</w:t>
      </w:r>
      <w:r>
        <w:rPr>
          <w:rFonts w:ascii="Times New Roman" w:hAnsi="Times New Roman"/>
          <w:sz w:val="32"/>
          <w:szCs w:val="32"/>
        </w:rPr>
        <w:tab/>
      </w:r>
      <w:r>
        <w:rPr>
          <w:rFonts w:ascii="Times New Roman" w:hAnsi="Times New Roman"/>
          <w:sz w:val="32"/>
          <w:szCs w:val="32"/>
        </w:rPr>
        <w:t>3</w:t>
      </w:r>
    </w:p>
    <w:p>
      <w:pPr>
        <w:pStyle w:val="11"/>
        <w:adjustRightInd w:val="0"/>
        <w:snapToGrid w:val="0"/>
        <w:spacing w:line="600" w:lineRule="exact"/>
        <w:jc w:val="left"/>
        <w:rPr>
          <w:rFonts w:eastAsia="仿宋_GB2312"/>
          <w:sz w:val="30"/>
          <w:szCs w:val="30"/>
        </w:rPr>
      </w:pPr>
      <w:r>
        <w:rPr>
          <w:rFonts w:eastAsia="仿宋_GB2312"/>
          <w:sz w:val="30"/>
          <w:szCs w:val="30"/>
        </w:rPr>
        <w:t>一、收入支出决算总体情况说明</w:t>
      </w:r>
      <w:r>
        <w:rPr>
          <w:rFonts w:eastAsia="仿宋_GB2312"/>
          <w:sz w:val="30"/>
          <w:szCs w:val="30"/>
        </w:rPr>
        <w:tab/>
      </w:r>
      <w:r>
        <w:rPr>
          <w:rFonts w:eastAsia="仿宋_GB2312"/>
          <w:sz w:val="30"/>
          <w:szCs w:val="30"/>
        </w:rPr>
        <w:t>3</w:t>
      </w:r>
    </w:p>
    <w:p>
      <w:pPr>
        <w:pStyle w:val="11"/>
        <w:adjustRightInd w:val="0"/>
        <w:snapToGrid w:val="0"/>
        <w:spacing w:line="600" w:lineRule="exact"/>
        <w:jc w:val="left"/>
        <w:rPr>
          <w:rFonts w:eastAsia="仿宋_GB2312"/>
          <w:sz w:val="30"/>
          <w:szCs w:val="30"/>
        </w:rPr>
      </w:pPr>
      <w:r>
        <w:rPr>
          <w:rFonts w:eastAsia="仿宋_GB2312"/>
          <w:sz w:val="30"/>
          <w:szCs w:val="30"/>
        </w:rPr>
        <w:t>二、收入决算情况说明</w:t>
      </w:r>
      <w:r>
        <w:rPr>
          <w:rFonts w:eastAsia="仿宋_GB2312"/>
          <w:sz w:val="30"/>
          <w:szCs w:val="30"/>
        </w:rPr>
        <w:tab/>
      </w:r>
      <w:r>
        <w:rPr>
          <w:rFonts w:eastAsia="仿宋_GB2312"/>
          <w:sz w:val="30"/>
          <w:szCs w:val="30"/>
        </w:rPr>
        <w:t>3</w:t>
      </w:r>
    </w:p>
    <w:p>
      <w:pPr>
        <w:pStyle w:val="11"/>
        <w:adjustRightInd w:val="0"/>
        <w:snapToGrid w:val="0"/>
        <w:spacing w:line="600" w:lineRule="exact"/>
        <w:jc w:val="left"/>
        <w:rPr>
          <w:rFonts w:eastAsia="仿宋_GB2312"/>
          <w:sz w:val="30"/>
          <w:szCs w:val="30"/>
        </w:rPr>
      </w:pPr>
      <w:r>
        <w:rPr>
          <w:rFonts w:eastAsia="仿宋_GB2312"/>
          <w:sz w:val="30"/>
          <w:szCs w:val="30"/>
        </w:rPr>
        <w:t>三、支出决算情况说明</w:t>
      </w:r>
      <w:r>
        <w:rPr>
          <w:rFonts w:eastAsia="仿宋_GB2312"/>
          <w:sz w:val="30"/>
          <w:szCs w:val="30"/>
        </w:rPr>
        <w:tab/>
      </w:r>
      <w:r>
        <w:rPr>
          <w:rFonts w:eastAsia="仿宋_GB2312"/>
          <w:sz w:val="30"/>
          <w:szCs w:val="30"/>
        </w:rPr>
        <w:t>4</w:t>
      </w:r>
    </w:p>
    <w:p>
      <w:pPr>
        <w:pStyle w:val="11"/>
        <w:adjustRightInd w:val="0"/>
        <w:snapToGrid w:val="0"/>
        <w:spacing w:line="600" w:lineRule="exact"/>
        <w:jc w:val="left"/>
        <w:rPr>
          <w:rFonts w:eastAsia="仿宋_GB2312"/>
          <w:sz w:val="30"/>
          <w:szCs w:val="30"/>
        </w:rPr>
      </w:pPr>
      <w:r>
        <w:rPr>
          <w:rFonts w:eastAsia="仿宋_GB2312"/>
          <w:sz w:val="30"/>
          <w:szCs w:val="30"/>
        </w:rPr>
        <w:t>四、财政拨款收入支出决算总体情况说明</w:t>
      </w:r>
      <w:r>
        <w:rPr>
          <w:rFonts w:eastAsia="仿宋_GB2312"/>
          <w:sz w:val="30"/>
          <w:szCs w:val="30"/>
        </w:rPr>
        <w:tab/>
      </w:r>
      <w:r>
        <w:rPr>
          <w:rFonts w:eastAsia="仿宋_GB2312"/>
          <w:sz w:val="30"/>
          <w:szCs w:val="30"/>
        </w:rPr>
        <w:t>5</w:t>
      </w:r>
    </w:p>
    <w:p>
      <w:pPr>
        <w:pStyle w:val="11"/>
        <w:adjustRightInd w:val="0"/>
        <w:snapToGrid w:val="0"/>
        <w:spacing w:line="600" w:lineRule="exact"/>
        <w:jc w:val="left"/>
        <w:rPr>
          <w:rFonts w:eastAsia="仿宋_GB2312"/>
          <w:sz w:val="30"/>
          <w:szCs w:val="30"/>
        </w:rPr>
      </w:pPr>
      <w:r>
        <w:rPr>
          <w:rFonts w:eastAsia="仿宋_GB2312"/>
          <w:sz w:val="30"/>
          <w:szCs w:val="30"/>
        </w:rPr>
        <w:t>五、一般公共预算财政拨款支出决算情况说明</w:t>
      </w:r>
      <w:r>
        <w:rPr>
          <w:rFonts w:eastAsia="仿宋_GB2312"/>
          <w:sz w:val="30"/>
          <w:szCs w:val="30"/>
        </w:rPr>
        <w:tab/>
      </w:r>
      <w:r>
        <w:rPr>
          <w:rFonts w:eastAsia="仿宋_GB2312"/>
          <w:sz w:val="30"/>
          <w:szCs w:val="30"/>
        </w:rPr>
        <w:t>5</w:t>
      </w:r>
    </w:p>
    <w:p>
      <w:pPr>
        <w:pStyle w:val="11"/>
        <w:adjustRightInd w:val="0"/>
        <w:snapToGrid w:val="0"/>
        <w:spacing w:line="600" w:lineRule="exact"/>
        <w:jc w:val="left"/>
        <w:rPr>
          <w:rFonts w:eastAsia="仿宋_GB2312"/>
          <w:sz w:val="30"/>
          <w:szCs w:val="30"/>
        </w:rPr>
      </w:pPr>
      <w:r>
        <w:rPr>
          <w:rFonts w:eastAsia="仿宋_GB2312"/>
          <w:sz w:val="30"/>
          <w:szCs w:val="30"/>
        </w:rPr>
        <w:t>六、一般公共预算财政拨款基本支出决算情况说明</w:t>
      </w:r>
      <w:r>
        <w:rPr>
          <w:rFonts w:eastAsia="仿宋_GB2312"/>
          <w:sz w:val="30"/>
          <w:szCs w:val="30"/>
        </w:rPr>
        <w:tab/>
      </w:r>
      <w:r>
        <w:rPr>
          <w:rFonts w:eastAsia="仿宋_GB2312"/>
          <w:sz w:val="30"/>
          <w:szCs w:val="30"/>
        </w:rPr>
        <w:t>8</w:t>
      </w:r>
    </w:p>
    <w:p>
      <w:pPr>
        <w:pStyle w:val="11"/>
        <w:adjustRightInd w:val="0"/>
        <w:snapToGrid w:val="0"/>
        <w:spacing w:line="600" w:lineRule="exact"/>
        <w:jc w:val="left"/>
        <w:rPr>
          <w:rFonts w:eastAsia="仿宋_GB2312"/>
          <w:sz w:val="30"/>
          <w:szCs w:val="30"/>
        </w:rPr>
      </w:pPr>
      <w:r>
        <w:rPr>
          <w:rFonts w:eastAsia="仿宋_GB2312"/>
          <w:sz w:val="30"/>
          <w:szCs w:val="30"/>
        </w:rPr>
        <w:t>七、财政拨款“三公”经费支出决算情况说明</w:t>
      </w:r>
      <w:r>
        <w:rPr>
          <w:rFonts w:eastAsia="仿宋_GB2312"/>
          <w:sz w:val="30"/>
          <w:szCs w:val="30"/>
        </w:rPr>
        <w:tab/>
      </w:r>
      <w:r>
        <w:rPr>
          <w:rFonts w:eastAsia="仿宋_GB2312"/>
          <w:sz w:val="30"/>
          <w:szCs w:val="30"/>
        </w:rPr>
        <w:t>8</w:t>
      </w:r>
    </w:p>
    <w:p>
      <w:pPr>
        <w:pStyle w:val="11"/>
        <w:adjustRightInd w:val="0"/>
        <w:snapToGrid w:val="0"/>
        <w:spacing w:line="600" w:lineRule="exact"/>
        <w:jc w:val="left"/>
        <w:rPr>
          <w:rFonts w:eastAsia="仿宋_GB2312"/>
          <w:sz w:val="30"/>
          <w:szCs w:val="30"/>
        </w:rPr>
      </w:pPr>
      <w:r>
        <w:rPr>
          <w:rFonts w:eastAsia="仿宋_GB2312"/>
          <w:sz w:val="30"/>
          <w:szCs w:val="30"/>
        </w:rPr>
        <w:t>八、政府性基金预算支出决算情况说明</w:t>
      </w:r>
      <w:r>
        <w:rPr>
          <w:rFonts w:eastAsia="仿宋_GB2312"/>
          <w:sz w:val="30"/>
          <w:szCs w:val="30"/>
        </w:rPr>
        <w:tab/>
      </w:r>
      <w:r>
        <w:rPr>
          <w:rFonts w:eastAsia="仿宋_GB2312"/>
          <w:sz w:val="30"/>
          <w:szCs w:val="30"/>
        </w:rPr>
        <w:t>10</w:t>
      </w:r>
    </w:p>
    <w:p>
      <w:pPr>
        <w:pStyle w:val="11"/>
        <w:adjustRightInd w:val="0"/>
        <w:snapToGrid w:val="0"/>
        <w:spacing w:line="600" w:lineRule="exact"/>
        <w:jc w:val="left"/>
        <w:rPr>
          <w:rFonts w:eastAsia="仿宋_GB2312"/>
          <w:sz w:val="30"/>
          <w:szCs w:val="30"/>
        </w:rPr>
      </w:pPr>
      <w:r>
        <w:rPr>
          <w:rFonts w:eastAsia="仿宋_GB2312"/>
          <w:sz w:val="30"/>
          <w:szCs w:val="30"/>
        </w:rPr>
        <w:t>九、国有资本经营预算支出决算情况说明</w:t>
      </w:r>
      <w:r>
        <w:rPr>
          <w:rFonts w:eastAsia="仿宋_GB2312"/>
          <w:sz w:val="30"/>
          <w:szCs w:val="30"/>
        </w:rPr>
        <w:tab/>
      </w:r>
      <w:r>
        <w:rPr>
          <w:rFonts w:eastAsia="仿宋_GB2312"/>
          <w:sz w:val="30"/>
          <w:szCs w:val="30"/>
        </w:rPr>
        <w:t>10</w:t>
      </w:r>
    </w:p>
    <w:p>
      <w:pPr>
        <w:pStyle w:val="11"/>
        <w:adjustRightInd w:val="0"/>
        <w:snapToGrid w:val="0"/>
        <w:spacing w:line="600" w:lineRule="exact"/>
        <w:jc w:val="left"/>
        <w:rPr>
          <w:sz w:val="30"/>
          <w:szCs w:val="30"/>
        </w:rPr>
      </w:pPr>
      <w:r>
        <w:rPr>
          <w:rFonts w:eastAsia="仿宋_GB2312"/>
          <w:sz w:val="30"/>
          <w:szCs w:val="30"/>
        </w:rPr>
        <w:t>十、其他重要事项的情况说明</w:t>
      </w:r>
      <w:r>
        <w:rPr>
          <w:sz w:val="30"/>
          <w:szCs w:val="30"/>
        </w:rPr>
        <w:tab/>
      </w:r>
      <w:r>
        <w:rPr>
          <w:sz w:val="30"/>
          <w:szCs w:val="30"/>
        </w:rPr>
        <w:t>1</w:t>
      </w:r>
      <w:r>
        <w:rPr>
          <w:rFonts w:hint="eastAsia"/>
          <w:sz w:val="30"/>
          <w:szCs w:val="30"/>
        </w:rPr>
        <w:t>1</w:t>
      </w:r>
    </w:p>
    <w:p>
      <w:pPr>
        <w:pStyle w:val="10"/>
        <w:adjustRightInd w:val="0"/>
        <w:snapToGrid w:val="0"/>
        <w:spacing w:before="0" w:line="600" w:lineRule="exact"/>
        <w:jc w:val="left"/>
        <w:rPr>
          <w:rFonts w:ascii="Times New Roman" w:hAnsi="Times New Roman"/>
          <w:sz w:val="32"/>
          <w:szCs w:val="32"/>
        </w:rPr>
      </w:pPr>
      <w:r>
        <w:rPr>
          <w:rFonts w:ascii="Times New Roman" w:hAnsi="Times New Roman"/>
          <w:sz w:val="32"/>
          <w:szCs w:val="32"/>
        </w:rPr>
        <w:t>第三部分 名词解释</w:t>
      </w:r>
      <w:r>
        <w:rPr>
          <w:rFonts w:ascii="Times New Roman" w:hAnsi="Times New Roman"/>
          <w:sz w:val="32"/>
          <w:szCs w:val="32"/>
        </w:rPr>
        <w:tab/>
      </w:r>
      <w:r>
        <w:rPr>
          <w:rFonts w:ascii="Times New Roman" w:hAnsi="Times New Roman"/>
          <w:sz w:val="32"/>
          <w:szCs w:val="32"/>
        </w:rPr>
        <w:t>1</w:t>
      </w:r>
      <w:r>
        <w:rPr>
          <w:rFonts w:hint="eastAsia" w:ascii="Times New Roman" w:hAnsi="Times New Roman"/>
          <w:sz w:val="32"/>
          <w:szCs w:val="32"/>
        </w:rPr>
        <w:t>4</w:t>
      </w:r>
    </w:p>
    <w:p>
      <w:pPr>
        <w:pStyle w:val="10"/>
        <w:adjustRightInd w:val="0"/>
        <w:snapToGrid w:val="0"/>
        <w:spacing w:before="0" w:line="600" w:lineRule="exact"/>
        <w:jc w:val="left"/>
        <w:rPr>
          <w:rFonts w:ascii="Times New Roman" w:hAnsi="Times New Roman"/>
          <w:sz w:val="32"/>
          <w:szCs w:val="32"/>
        </w:rPr>
      </w:pPr>
      <w:r>
        <w:rPr>
          <w:rFonts w:ascii="Times New Roman" w:hAnsi="Times New Roman"/>
          <w:sz w:val="32"/>
          <w:szCs w:val="32"/>
        </w:rPr>
        <w:t>第四部分 附件</w:t>
      </w:r>
      <w:r>
        <w:rPr>
          <w:rFonts w:ascii="Times New Roman" w:hAnsi="Times New Roman"/>
          <w:sz w:val="32"/>
          <w:szCs w:val="32"/>
        </w:rPr>
        <w:tab/>
      </w:r>
      <w:r>
        <w:rPr>
          <w:rFonts w:ascii="Times New Roman" w:hAnsi="Times New Roman"/>
          <w:sz w:val="32"/>
          <w:szCs w:val="32"/>
        </w:rPr>
        <w:t>1</w:t>
      </w:r>
      <w:r>
        <w:rPr>
          <w:rFonts w:hint="eastAsia" w:ascii="Times New Roman" w:hAnsi="Times New Roman"/>
          <w:sz w:val="32"/>
          <w:szCs w:val="32"/>
        </w:rPr>
        <w:t>8</w:t>
      </w:r>
    </w:p>
    <w:p>
      <w:pPr>
        <w:pStyle w:val="10"/>
        <w:adjustRightInd w:val="0"/>
        <w:snapToGrid w:val="0"/>
        <w:spacing w:before="0" w:line="600" w:lineRule="exact"/>
        <w:jc w:val="left"/>
        <w:rPr>
          <w:rFonts w:ascii="Times New Roman" w:hAnsi="Times New Roman"/>
          <w:sz w:val="32"/>
          <w:szCs w:val="32"/>
        </w:rPr>
      </w:pPr>
      <w:r>
        <w:rPr>
          <w:rFonts w:ascii="Times New Roman" w:hAnsi="Times New Roman"/>
          <w:sz w:val="32"/>
          <w:szCs w:val="32"/>
        </w:rPr>
        <w:t>第五部分 附表</w:t>
      </w:r>
      <w:r>
        <w:rPr>
          <w:rFonts w:ascii="Times New Roman" w:hAnsi="Times New Roman"/>
          <w:sz w:val="32"/>
          <w:szCs w:val="32"/>
        </w:rPr>
        <w:tab/>
      </w:r>
      <w:r>
        <w:rPr>
          <w:rFonts w:ascii="Times New Roman" w:hAnsi="Times New Roman"/>
          <w:sz w:val="32"/>
          <w:szCs w:val="32"/>
        </w:rPr>
        <w:t>1</w:t>
      </w:r>
      <w:r>
        <w:rPr>
          <w:rFonts w:hint="eastAsia" w:ascii="Times New Roman" w:hAnsi="Times New Roman"/>
          <w:sz w:val="32"/>
          <w:szCs w:val="32"/>
        </w:rPr>
        <w:t>9</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一、收入支出决算总表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二、收入决算表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四、财政拨款收入支出决算总表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五、财政拨款支出决算明细表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六、一般公共预算财政拨款支出决算表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七、一般公共预算财政拨款支出决算明细表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八、一般公共预算财政拨款基本支出决算明细表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九、一般公共预算财政拨款项目支出决算表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十、政府性基金预算财政拨款收入支出决算表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十一、国有资本经营预算财政拨款收入支出决算表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十二、国有资本经营预算财政拨款支出决算表</w:t>
      </w:r>
    </w:p>
    <w:p>
      <w:pPr>
        <w:pStyle w:val="11"/>
        <w:adjustRightInd w:val="0"/>
        <w:snapToGrid w:val="0"/>
        <w:spacing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十三、财政拨款“三公”经费支出决算表</w:t>
      </w:r>
    </w:p>
    <w:p>
      <w:pPr>
        <w:pStyle w:val="3"/>
        <w:spacing w:line="600" w:lineRule="exact"/>
        <w:jc w:val="center"/>
        <w:rPr>
          <w:rFonts w:ascii="黑体" w:hAnsi="黑体" w:eastAsia="黑体"/>
          <w:b w:val="0"/>
          <w:sz w:val="32"/>
          <w:szCs w:val="32"/>
        </w:rPr>
        <w:sectPr>
          <w:headerReference r:id="rId3" w:type="default"/>
          <w:pgSz w:w="11906" w:h="16838"/>
          <w:pgMar w:top="2098" w:right="1800" w:bottom="1984" w:left="1587" w:header="851" w:footer="992" w:gutter="0"/>
          <w:pgNumType w:start="1"/>
          <w:cols w:space="425" w:num="1"/>
          <w:titlePg/>
          <w:docGrid w:type="lines" w:linePitch="312" w:charSpace="0"/>
        </w:sectPr>
      </w:pPr>
      <w:bookmarkStart w:id="12" w:name="_Toc15396599"/>
      <w:bookmarkStart w:id="13" w:name="_Toc15377196"/>
    </w:p>
    <w:p>
      <w:pPr>
        <w:pStyle w:val="3"/>
        <w:adjustRightInd w:val="0"/>
        <w:snapToGrid w:val="0"/>
        <w:spacing w:line="600" w:lineRule="exact"/>
        <w:ind w:firstLine="880" w:firstLineChars="200"/>
        <w:jc w:val="center"/>
        <w:rPr>
          <w:rFonts w:ascii="黑体" w:eastAsia="黑体"/>
          <w:sz w:val="32"/>
          <w:szCs w:val="32"/>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adjustRightInd w:val="0"/>
        <w:snapToGrid w:val="0"/>
        <w:spacing w:line="540" w:lineRule="exact"/>
        <w:ind w:firstLine="640" w:firstLineChars="200"/>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1.</w:t>
      </w:r>
      <w:r>
        <w:rPr>
          <w:rFonts w:eastAsia="仿宋_GB2312"/>
          <w:color w:val="333333"/>
          <w:sz w:val="32"/>
          <w:szCs w:val="32"/>
        </w:rPr>
        <w:t>贯彻执行国家和省有关水行政管理工作的方针、政策和法律、法规。负责保障水资源的合理开发利用；负责全市水利、水土保持、农村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2.</w:t>
      </w:r>
      <w:r>
        <w:rPr>
          <w:rFonts w:eastAsia="仿宋_GB2312"/>
          <w:color w:val="333333"/>
          <w:sz w:val="32"/>
          <w:szCs w:val="32"/>
        </w:rPr>
        <w:t>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3.</w:t>
      </w:r>
      <w:r>
        <w:rPr>
          <w:rFonts w:eastAsia="仿宋_GB2312"/>
          <w:color w:val="333333"/>
          <w:sz w:val="32"/>
          <w:szCs w:val="32"/>
        </w:rPr>
        <w:t>负责组织实施水利、水土保持、农村水电的法律法规及执法工作；调处县（区）之间的重大水事纠纷；负责有关行政复议和行政诉讼应诉工作。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4.</w:t>
      </w:r>
      <w:r>
        <w:rPr>
          <w:rFonts w:eastAsia="仿宋_GB2312"/>
          <w:color w:val="333333"/>
          <w:sz w:val="32"/>
          <w:szCs w:val="32"/>
        </w:rPr>
        <w:t>负责全市水土保持工作。拟订水土保持规划并监督实施，负责全市水土流失综合治理及监测工作；负责权限范围内开发建设项目水土保持方案的审批、实施、监督工作。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5.</w:t>
      </w:r>
      <w:r>
        <w:rPr>
          <w:rFonts w:eastAsia="仿宋_GB2312"/>
          <w:color w:val="333333"/>
          <w:sz w:val="32"/>
          <w:szCs w:val="32"/>
        </w:rPr>
        <w:t>负责农村水电行业管理工作。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6.</w:t>
      </w:r>
      <w:r>
        <w:rPr>
          <w:rFonts w:eastAsia="仿宋_GB2312"/>
          <w:color w:val="333333"/>
          <w:sz w:val="32"/>
          <w:szCs w:val="32"/>
        </w:rPr>
        <w:t>负责全市江河的综合开发与管理工作。负责全市河道、水库、湖泊、河口滩涂的行政管理及河道管护范围内砂石资源等的开发、利用和保护；负责对占用河道、河堤通道设施（包括临时设施）等行为的行政监督管理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7.</w:t>
      </w:r>
      <w:r>
        <w:rPr>
          <w:rFonts w:eastAsia="仿宋_GB2312"/>
          <w:color w:val="333333"/>
          <w:sz w:val="32"/>
          <w:szCs w:val="32"/>
        </w:rPr>
        <w:t>指导农村水利工作。参与协调农田水利基本建设，指导农村饮水安全等工程建设与管理工作，指导农村水利社会化服务体系建设；按规定指导农村水能资源开发工作，指导水电农村电气化和小水电代燃料工作。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8.</w:t>
      </w:r>
      <w:r>
        <w:rPr>
          <w:rFonts w:eastAsia="仿宋_GB2312"/>
          <w:color w:val="333333"/>
          <w:sz w:val="32"/>
          <w:szCs w:val="32"/>
        </w:rPr>
        <w:t>指导全市水利发展和水利行业劳动保护、科技推广、安全生产工作。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9.</w:t>
      </w:r>
      <w:r>
        <w:rPr>
          <w:rFonts w:eastAsia="仿宋_GB2312"/>
          <w:color w:val="333333"/>
          <w:sz w:val="32"/>
          <w:szCs w:val="32"/>
        </w:rPr>
        <w:t>负责防治水旱灾害，组织、协调、监督、指导全市防洪抢险及抗旱工作。编制全市防汛抗旱应急预案并组织实施，指导水利突发公共事件应急管理工作。</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10.</w:t>
      </w:r>
      <w:r>
        <w:rPr>
          <w:rFonts w:eastAsia="仿宋_GB2312"/>
          <w:color w:val="333333"/>
          <w:sz w:val="32"/>
          <w:szCs w:val="32"/>
        </w:rPr>
        <w:t>指导水利工程移民管理工作。拟订大中型水利水电工程移民安置年度计划和资金计划，组织实施并监督检查移民搬迁安置工作。组织编制大中型水利水电工程移民后期扶持规划。负责对全市在建大中型水利水电移民工程项目竣工结算、决算和财务收支等审计、监督。</w:t>
      </w:r>
    </w:p>
    <w:p>
      <w:pPr>
        <w:pStyle w:val="12"/>
        <w:widowControl/>
        <w:adjustRightInd w:val="0"/>
        <w:snapToGrid w:val="0"/>
        <w:spacing w:beforeAutospacing="0" w:afterAutospacing="0" w:line="540" w:lineRule="exact"/>
        <w:ind w:firstLine="640" w:firstLineChars="200"/>
      </w:pPr>
      <w:r>
        <w:rPr>
          <w:rFonts w:eastAsia="微软雅黑"/>
          <w:color w:val="333333"/>
          <w:sz w:val="32"/>
          <w:szCs w:val="32"/>
        </w:rPr>
        <w:t>11.</w:t>
      </w:r>
      <w:r>
        <w:rPr>
          <w:rFonts w:eastAsia="仿宋_GB2312"/>
          <w:color w:val="333333"/>
          <w:sz w:val="32"/>
          <w:szCs w:val="32"/>
        </w:rPr>
        <w:t>承担市政府公布的有关行政审批事项。</w:t>
      </w:r>
    </w:p>
    <w:p>
      <w:pPr>
        <w:pStyle w:val="12"/>
        <w:widowControl/>
        <w:adjustRightInd w:val="0"/>
        <w:snapToGrid w:val="0"/>
        <w:spacing w:beforeAutospacing="0" w:afterAutospacing="0" w:line="540" w:lineRule="exact"/>
        <w:ind w:firstLine="640" w:firstLineChars="200"/>
        <w:rPr>
          <w:rFonts w:eastAsia="仿宋_GB2312"/>
          <w:color w:val="333333"/>
          <w:sz w:val="32"/>
          <w:szCs w:val="32"/>
        </w:rPr>
      </w:pPr>
      <w:r>
        <w:rPr>
          <w:rFonts w:eastAsia="微软雅黑"/>
          <w:color w:val="333333"/>
          <w:sz w:val="32"/>
          <w:szCs w:val="32"/>
        </w:rPr>
        <w:t>12.</w:t>
      </w:r>
      <w:r>
        <w:rPr>
          <w:rFonts w:eastAsia="仿宋_GB2312"/>
          <w:color w:val="333333"/>
          <w:sz w:val="32"/>
          <w:szCs w:val="32"/>
        </w:rPr>
        <w:t>承办市政府交办的其他事项。</w:t>
      </w:r>
    </w:p>
    <w:p>
      <w:pPr>
        <w:pStyle w:val="12"/>
        <w:widowControl/>
        <w:adjustRightInd w:val="0"/>
        <w:snapToGrid w:val="0"/>
        <w:spacing w:beforeAutospacing="0" w:afterAutospacing="0" w:line="540" w:lineRule="exact"/>
        <w:ind w:firstLine="640" w:firstLineChars="200"/>
        <w:rPr>
          <w:rStyle w:val="26"/>
          <w:rFonts w:ascii="黑体" w:hAnsi="黑体" w:eastAsia="黑体"/>
          <w:b w:val="0"/>
          <w:bCs w:val="0"/>
        </w:rPr>
      </w:pPr>
      <w:r>
        <w:rPr>
          <w:rStyle w:val="26"/>
          <w:rFonts w:ascii="黑体" w:hAnsi="黑体" w:eastAsia="黑体"/>
          <w:b w:val="0"/>
          <w:bCs w:val="0"/>
        </w:rPr>
        <w:t>二、机构设置</w:t>
      </w:r>
    </w:p>
    <w:bookmarkEnd w:id="14"/>
    <w:bookmarkEnd w:id="15"/>
    <w:p>
      <w:pPr>
        <w:adjustRightInd w:val="0"/>
        <w:snapToGrid w:val="0"/>
        <w:spacing w:line="560" w:lineRule="exact"/>
        <w:ind w:firstLine="640" w:firstLineChars="200"/>
        <w:rPr>
          <w:rFonts w:eastAsia="仿宋_GB2312"/>
          <w:sz w:val="32"/>
          <w:szCs w:val="32"/>
        </w:rPr>
      </w:pPr>
      <w:r>
        <w:rPr>
          <w:rFonts w:eastAsia="仿宋_GB2312"/>
          <w:sz w:val="32"/>
          <w:szCs w:val="32"/>
        </w:rPr>
        <w:t>攀枝花市水利局下属二级单位4个，其中行政单位1个，参照公务员法管理的事业单位1个，其他事业单位2个。</w:t>
      </w:r>
    </w:p>
    <w:p>
      <w:pPr>
        <w:adjustRightInd w:val="0"/>
        <w:snapToGrid w:val="0"/>
        <w:spacing w:line="560" w:lineRule="exact"/>
        <w:ind w:firstLine="640" w:firstLineChars="200"/>
        <w:rPr>
          <w:rFonts w:eastAsia="仿宋_GB2312"/>
          <w:sz w:val="32"/>
          <w:szCs w:val="32"/>
        </w:rPr>
      </w:pPr>
      <w:r>
        <w:rPr>
          <w:rFonts w:eastAsia="仿宋_GB2312"/>
          <w:sz w:val="32"/>
          <w:szCs w:val="32"/>
        </w:rPr>
        <w:t>纳入攀枝花市水利局2022年度单位决算编制范围的二级预算单位包括：</w:t>
      </w:r>
    </w:p>
    <w:p>
      <w:pPr>
        <w:adjustRightInd w:val="0"/>
        <w:snapToGrid w:val="0"/>
        <w:spacing w:line="560" w:lineRule="exact"/>
        <w:ind w:firstLine="640" w:firstLineChars="200"/>
        <w:rPr>
          <w:rFonts w:eastAsia="仿宋_GB2312"/>
          <w:sz w:val="32"/>
          <w:szCs w:val="32"/>
        </w:rPr>
      </w:pPr>
      <w:r>
        <w:rPr>
          <w:rFonts w:eastAsia="仿宋_GB2312"/>
          <w:sz w:val="32"/>
          <w:szCs w:val="32"/>
        </w:rPr>
        <w:t>1.攀枝花市水利局机关</w:t>
      </w:r>
    </w:p>
    <w:p>
      <w:pPr>
        <w:adjustRightInd w:val="0"/>
        <w:snapToGrid w:val="0"/>
        <w:spacing w:line="560" w:lineRule="exact"/>
        <w:ind w:firstLine="640" w:firstLineChars="200"/>
        <w:rPr>
          <w:rFonts w:eastAsia="仿宋_GB2312"/>
          <w:sz w:val="32"/>
          <w:szCs w:val="32"/>
        </w:rPr>
      </w:pPr>
      <w:r>
        <w:rPr>
          <w:rFonts w:eastAsia="仿宋_GB2312"/>
          <w:sz w:val="32"/>
          <w:szCs w:val="32"/>
        </w:rPr>
        <w:t>2.攀枝花市水政监察执法支队</w:t>
      </w:r>
    </w:p>
    <w:p>
      <w:pPr>
        <w:adjustRightInd w:val="0"/>
        <w:snapToGrid w:val="0"/>
        <w:spacing w:line="560" w:lineRule="exact"/>
        <w:ind w:firstLine="640" w:firstLineChars="200"/>
        <w:rPr>
          <w:rFonts w:eastAsia="仿宋_GB2312"/>
          <w:sz w:val="32"/>
          <w:szCs w:val="32"/>
        </w:rPr>
      </w:pPr>
      <w:r>
        <w:rPr>
          <w:rFonts w:eastAsia="仿宋_GB2312"/>
          <w:sz w:val="32"/>
          <w:szCs w:val="32"/>
        </w:rPr>
        <w:t>3.攀枝花市水资源河湖保护中心</w:t>
      </w:r>
    </w:p>
    <w:p>
      <w:pPr>
        <w:adjustRightInd w:val="0"/>
        <w:snapToGrid w:val="0"/>
        <w:spacing w:line="560" w:lineRule="exact"/>
        <w:ind w:firstLine="640" w:firstLineChars="200"/>
        <w:rPr>
          <w:rFonts w:eastAsia="仿宋"/>
          <w:kern w:val="0"/>
          <w:sz w:val="32"/>
          <w:szCs w:val="32"/>
        </w:rPr>
      </w:pPr>
      <w:r>
        <w:rPr>
          <w:rFonts w:eastAsia="仿宋_GB2312"/>
          <w:sz w:val="32"/>
          <w:szCs w:val="32"/>
        </w:rPr>
        <w:t>4.攀枝花市水资源配置工程推进中心</w:t>
      </w:r>
    </w:p>
    <w:p>
      <w:pPr>
        <w:pStyle w:val="3"/>
        <w:adjustRightInd w:val="0"/>
        <w:snapToGrid w:val="0"/>
        <w:spacing w:line="560" w:lineRule="exact"/>
        <w:jc w:val="center"/>
      </w:pPr>
      <w:bookmarkStart w:id="16" w:name="_Toc15396602"/>
      <w:bookmarkStart w:id="17" w:name="_Toc15377204"/>
      <w:r>
        <w:rPr>
          <w:rFonts w:eastAsia="黑体"/>
          <w:b w:val="0"/>
        </w:rPr>
        <w:t>第二部分 2022年度</w:t>
      </w:r>
      <w:r>
        <w:rPr>
          <w:rStyle w:val="25"/>
          <w:rFonts w:eastAsia="黑体"/>
          <w:b w:val="0"/>
          <w:bCs/>
        </w:rPr>
        <w:t>单位决算情况说明</w:t>
      </w:r>
      <w:bookmarkEnd w:id="16"/>
      <w:bookmarkEnd w:id="17"/>
    </w:p>
    <w:p>
      <w:pPr>
        <w:pStyle w:val="24"/>
        <w:numPr>
          <w:ilvl w:val="0"/>
          <w:numId w:val="2"/>
        </w:numPr>
        <w:adjustRightInd w:val="0"/>
        <w:snapToGrid w:val="0"/>
        <w:spacing w:line="560" w:lineRule="exact"/>
        <w:ind w:left="0" w:firstLine="640"/>
        <w:outlineLvl w:val="1"/>
        <w:rPr>
          <w:rStyle w:val="26"/>
          <w:rFonts w:ascii="Times New Roman" w:hAnsi="Times New Roman" w:eastAsia="黑体" w:cs="Times New Roman"/>
          <w:b w:val="0"/>
        </w:rPr>
      </w:pPr>
      <w:bookmarkStart w:id="18" w:name="_Toc15377205"/>
      <w:bookmarkStart w:id="19" w:name="_Toc15396603"/>
      <w:r>
        <w:rPr>
          <w:rFonts w:eastAsia="黑体"/>
          <w:sz w:val="32"/>
          <w:szCs w:val="32"/>
        </w:rPr>
        <w:t>收</w:t>
      </w:r>
      <w:r>
        <w:rPr>
          <w:rStyle w:val="26"/>
          <w:rFonts w:ascii="Times New Roman" w:hAnsi="Times New Roman" w:eastAsia="黑体" w:cs="Times New Roman"/>
          <w:b w:val="0"/>
        </w:rPr>
        <w:t>入支出决算总体情况说明</w:t>
      </w:r>
      <w:bookmarkEnd w:id="18"/>
      <w:bookmarkEnd w:id="19"/>
    </w:p>
    <w:p>
      <w:pPr>
        <w:adjustRightInd w:val="0"/>
        <w:snapToGrid w:val="0"/>
        <w:spacing w:line="560" w:lineRule="exact"/>
        <w:ind w:firstLine="640" w:firstLineChars="200"/>
        <w:rPr>
          <w:rFonts w:eastAsia="仿宋"/>
          <w:sz w:val="32"/>
          <w:szCs w:val="32"/>
          <w:highlight w:val="green"/>
        </w:rPr>
      </w:pPr>
      <w:r>
        <w:rPr>
          <w:rFonts w:eastAsia="仿宋"/>
          <w:sz w:val="32"/>
          <w:szCs w:val="32"/>
        </w:rPr>
        <w:t>2022年度收、支总计2021.8万元。与2021年相比，收、支总计各增加461.49万元，增长29.58%。主要变动原因是</w:t>
      </w:r>
      <w:r>
        <w:rPr>
          <w:rFonts w:eastAsia="仿宋_GB2312"/>
          <w:kern w:val="0"/>
          <w:sz w:val="32"/>
          <w:szCs w:val="32"/>
        </w:rPr>
        <w:t>2022年人员经费增加了。</w:t>
      </w:r>
    </w:p>
    <w:p>
      <w:pPr>
        <w:adjustRightInd w:val="0"/>
        <w:snapToGrid w:val="0"/>
        <w:spacing w:line="560" w:lineRule="exact"/>
        <w:ind w:firstLine="640" w:firstLineChars="200"/>
        <w:rPr>
          <w:rFonts w:eastAsia="仿宋"/>
          <w:sz w:val="32"/>
          <w:szCs w:val="32"/>
        </w:rPr>
      </w:pPr>
      <w:r>
        <w:rPr>
          <w:rFonts w:eastAsia="仿宋"/>
          <w:sz w:val="32"/>
          <w:szCs w:val="32"/>
        </w:rPr>
        <w:t>（图1：收、支决算总计变动情况图）</w:t>
      </w:r>
    </w:p>
    <w:p>
      <w:pPr>
        <w:pStyle w:val="2"/>
        <w:spacing w:before="93" w:line="560" w:lineRule="exact"/>
        <w:rPr>
          <w:rStyle w:val="26"/>
          <w:rFonts w:ascii="Times New Roman" w:hAnsi="Times New Roman" w:eastAsia="黑体" w:cs="Times New Roman"/>
          <w:b w:val="0"/>
        </w:rPr>
      </w:pPr>
      <w:r>
        <w:rPr>
          <w:rFonts w:ascii="Times New Roman"/>
        </w:rPr>
        <w:drawing>
          <wp:anchor distT="0" distB="0" distL="114300" distR="114300" simplePos="0" relativeHeight="251661312" behindDoc="0" locked="0" layoutInCell="1" allowOverlap="1">
            <wp:simplePos x="0" y="0"/>
            <wp:positionH relativeFrom="column">
              <wp:posOffset>52705</wp:posOffset>
            </wp:positionH>
            <wp:positionV relativeFrom="paragraph">
              <wp:posOffset>120015</wp:posOffset>
            </wp:positionV>
            <wp:extent cx="5310505" cy="2232025"/>
            <wp:effectExtent l="5080" t="4445" r="18415" b="11430"/>
            <wp:wrapSquare wrapText="bothSides"/>
            <wp:docPr id="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0" w:name="_Toc15396604"/>
      <w:bookmarkStart w:id="21" w:name="_Toc15377206"/>
      <w:r>
        <w:rPr>
          <w:rStyle w:val="26"/>
          <w:rFonts w:ascii="Times New Roman" w:hAnsi="Times New Roman" w:eastAsia="黑体" w:cs="Times New Roman"/>
          <w:b w:val="0"/>
        </w:rPr>
        <w:t>二、</w:t>
      </w:r>
      <w:r>
        <w:rPr>
          <w:rFonts w:ascii="Times New Roman" w:eastAsia="黑体"/>
          <w:sz w:val="32"/>
          <w:szCs w:val="32"/>
        </w:rPr>
        <w:t>收</w:t>
      </w:r>
      <w:r>
        <w:rPr>
          <w:rStyle w:val="26"/>
          <w:rFonts w:ascii="Times New Roman" w:hAnsi="Times New Roman" w:eastAsia="黑体" w:cs="Times New Roman"/>
          <w:b w:val="0"/>
        </w:rPr>
        <w:t>入决算情况说明</w:t>
      </w:r>
      <w:bookmarkEnd w:id="20"/>
      <w:bookmarkEnd w:id="21"/>
    </w:p>
    <w:p>
      <w:pPr>
        <w:adjustRightInd w:val="0"/>
        <w:snapToGrid w:val="0"/>
        <w:spacing w:line="560" w:lineRule="exact"/>
        <w:ind w:firstLine="640" w:firstLineChars="200"/>
        <w:outlineLvl w:val="1"/>
        <w:rPr>
          <w:rFonts w:eastAsia="仿宋"/>
          <w:sz w:val="32"/>
          <w:szCs w:val="32"/>
        </w:rPr>
      </w:pPr>
      <w:r>
        <w:rPr>
          <w:rFonts w:eastAsia="仿宋"/>
          <w:sz w:val="32"/>
          <w:szCs w:val="32"/>
        </w:rPr>
        <w:t>2022年本年收入合计1933.38万元，其中：一般公共预算财政拨款收入1933.38万元，占100%；政府性基金预算财政拨款收入0万元，占0%；国有资本经营预算财政拨款收入0万元，占0%；上级补助收入0万元，占0%；事业收入0万元，占0%；经营收入0万元，占0%；附属单位上缴收入0万元，占0%；其他收入0万元，占0%。</w:t>
      </w:r>
    </w:p>
    <w:p>
      <w:pPr>
        <w:adjustRightInd w:val="0"/>
        <w:snapToGrid w:val="0"/>
        <w:spacing w:line="560" w:lineRule="exact"/>
        <w:ind w:firstLine="640" w:firstLineChars="200"/>
        <w:rPr>
          <w:rFonts w:eastAsia="仿宋"/>
          <w:sz w:val="32"/>
          <w:szCs w:val="32"/>
        </w:rPr>
      </w:pPr>
      <w:r>
        <w:rPr>
          <w:rFonts w:eastAsia="仿宋"/>
          <w:sz w:val="32"/>
          <w:szCs w:val="32"/>
        </w:rPr>
        <w:t>（图2：收入决算结构图）</w:t>
      </w:r>
    </w:p>
    <w:p>
      <w:pPr>
        <w:pStyle w:val="2"/>
        <w:spacing w:before="93" w:line="560" w:lineRule="exact"/>
        <w:rPr>
          <w:rFonts w:ascii="Times New Roman"/>
        </w:rPr>
      </w:pPr>
      <w:r>
        <w:rPr>
          <w:rFonts w:ascii="Times New Roman"/>
        </w:rPr>
        <w:drawing>
          <wp:anchor distT="0" distB="0" distL="114300" distR="114300" simplePos="0" relativeHeight="251662336" behindDoc="0" locked="0" layoutInCell="1" allowOverlap="1">
            <wp:simplePos x="0" y="0"/>
            <wp:positionH relativeFrom="column">
              <wp:posOffset>247650</wp:posOffset>
            </wp:positionH>
            <wp:positionV relativeFrom="paragraph">
              <wp:posOffset>132080</wp:posOffset>
            </wp:positionV>
            <wp:extent cx="4631690" cy="2326640"/>
            <wp:effectExtent l="4445" t="4445" r="12065" b="12065"/>
            <wp:wrapSquare wrapText="bothSides"/>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4"/>
        <w:adjustRightInd w:val="0"/>
        <w:snapToGrid w:val="0"/>
        <w:spacing w:line="560" w:lineRule="exact"/>
        <w:ind w:firstLine="640"/>
        <w:outlineLvl w:val="1"/>
        <w:rPr>
          <w:rFonts w:eastAsia="黑体"/>
          <w:sz w:val="32"/>
          <w:szCs w:val="32"/>
        </w:rPr>
      </w:pPr>
      <w:bookmarkStart w:id="22" w:name="_Toc15377207"/>
      <w:bookmarkStart w:id="23" w:name="_Toc15396605"/>
    </w:p>
    <w:p>
      <w:pPr>
        <w:pStyle w:val="24"/>
        <w:adjustRightInd w:val="0"/>
        <w:snapToGrid w:val="0"/>
        <w:spacing w:line="560" w:lineRule="exact"/>
        <w:ind w:firstLine="640"/>
        <w:outlineLvl w:val="1"/>
        <w:rPr>
          <w:rFonts w:eastAsia="黑体"/>
          <w:sz w:val="32"/>
          <w:szCs w:val="32"/>
        </w:rPr>
      </w:pPr>
    </w:p>
    <w:p>
      <w:pPr>
        <w:pStyle w:val="24"/>
        <w:adjustRightInd w:val="0"/>
        <w:snapToGrid w:val="0"/>
        <w:spacing w:line="560" w:lineRule="exact"/>
        <w:ind w:firstLine="640"/>
        <w:outlineLvl w:val="1"/>
        <w:rPr>
          <w:rFonts w:eastAsia="黑体"/>
          <w:sz w:val="32"/>
          <w:szCs w:val="32"/>
        </w:rPr>
      </w:pPr>
    </w:p>
    <w:p>
      <w:pPr>
        <w:pStyle w:val="24"/>
        <w:adjustRightInd w:val="0"/>
        <w:snapToGrid w:val="0"/>
        <w:spacing w:line="560" w:lineRule="exact"/>
        <w:ind w:firstLine="640"/>
        <w:outlineLvl w:val="1"/>
        <w:rPr>
          <w:rFonts w:eastAsia="黑体"/>
          <w:sz w:val="32"/>
          <w:szCs w:val="32"/>
        </w:rPr>
      </w:pPr>
    </w:p>
    <w:p>
      <w:pPr>
        <w:pStyle w:val="24"/>
        <w:adjustRightInd w:val="0"/>
        <w:snapToGrid w:val="0"/>
        <w:spacing w:line="560" w:lineRule="exact"/>
        <w:ind w:firstLine="640"/>
        <w:outlineLvl w:val="1"/>
        <w:rPr>
          <w:rFonts w:eastAsia="黑体"/>
          <w:sz w:val="32"/>
          <w:szCs w:val="32"/>
        </w:rPr>
      </w:pPr>
    </w:p>
    <w:p>
      <w:pPr>
        <w:pStyle w:val="24"/>
        <w:adjustRightInd w:val="0"/>
        <w:snapToGrid w:val="0"/>
        <w:spacing w:line="560" w:lineRule="exact"/>
        <w:ind w:firstLine="0" w:firstLineChars="0"/>
        <w:outlineLvl w:val="1"/>
        <w:rPr>
          <w:rFonts w:eastAsia="黑体"/>
          <w:sz w:val="32"/>
          <w:szCs w:val="32"/>
        </w:rPr>
      </w:pPr>
    </w:p>
    <w:p>
      <w:pPr>
        <w:pStyle w:val="24"/>
        <w:adjustRightInd w:val="0"/>
        <w:snapToGrid w:val="0"/>
        <w:spacing w:line="560" w:lineRule="exact"/>
        <w:ind w:firstLine="640"/>
        <w:outlineLvl w:val="1"/>
        <w:rPr>
          <w:rStyle w:val="26"/>
          <w:rFonts w:ascii="Times New Roman" w:hAnsi="Times New Roman" w:eastAsia="黑体" w:cs="Times New Roman"/>
          <w:b w:val="0"/>
        </w:rPr>
      </w:pPr>
      <w:r>
        <w:rPr>
          <w:rFonts w:eastAsia="黑体"/>
          <w:sz w:val="32"/>
          <w:szCs w:val="32"/>
        </w:rPr>
        <w:t>三、支</w:t>
      </w:r>
      <w:r>
        <w:rPr>
          <w:rStyle w:val="26"/>
          <w:rFonts w:ascii="Times New Roman" w:hAnsi="Times New Roman" w:eastAsia="黑体" w:cs="Times New Roman"/>
          <w:b w:val="0"/>
        </w:rPr>
        <w:t>出决算情况说明</w:t>
      </w:r>
      <w:bookmarkEnd w:id="22"/>
      <w:bookmarkEnd w:id="23"/>
    </w:p>
    <w:p>
      <w:pPr>
        <w:adjustRightInd w:val="0"/>
        <w:snapToGrid w:val="0"/>
        <w:spacing w:line="560" w:lineRule="exact"/>
        <w:ind w:firstLine="640" w:firstLineChars="200"/>
        <w:outlineLvl w:val="1"/>
        <w:rPr>
          <w:rFonts w:eastAsia="仿宋"/>
          <w:sz w:val="32"/>
          <w:szCs w:val="32"/>
        </w:rPr>
      </w:pPr>
      <w:r>
        <w:rPr>
          <w:rFonts w:eastAsia="仿宋"/>
          <w:sz w:val="32"/>
          <w:szCs w:val="32"/>
        </w:rPr>
        <w:t>2022年本年支出合计2021.</w:t>
      </w:r>
      <w:r>
        <w:rPr>
          <w:rFonts w:hint="eastAsia" w:eastAsia="仿宋"/>
          <w:sz w:val="32"/>
          <w:szCs w:val="32"/>
        </w:rPr>
        <w:t>8</w:t>
      </w:r>
      <w:r>
        <w:rPr>
          <w:rFonts w:eastAsia="仿宋"/>
          <w:sz w:val="32"/>
          <w:szCs w:val="32"/>
        </w:rPr>
        <w:t>万元，其中：基本支出1533.76万元，占75.86%；项目支出488.0</w:t>
      </w:r>
      <w:r>
        <w:rPr>
          <w:rFonts w:hint="eastAsia" w:eastAsia="仿宋"/>
          <w:sz w:val="32"/>
          <w:szCs w:val="32"/>
        </w:rPr>
        <w:t>4</w:t>
      </w:r>
      <w:r>
        <w:rPr>
          <w:rFonts w:eastAsia="仿宋"/>
          <w:sz w:val="32"/>
          <w:szCs w:val="32"/>
        </w:rPr>
        <w:t>万元，占24.14%；上缴上级支出0万元，占0%；经营支出0万元，占0%；对附属单位补助支出0万元，占0%。</w:t>
      </w:r>
    </w:p>
    <w:p>
      <w:pPr>
        <w:adjustRightInd w:val="0"/>
        <w:snapToGrid w:val="0"/>
        <w:spacing w:line="560" w:lineRule="exact"/>
        <w:ind w:firstLine="640" w:firstLineChars="200"/>
        <w:rPr>
          <w:rFonts w:eastAsia="仿宋"/>
          <w:sz w:val="32"/>
          <w:szCs w:val="32"/>
        </w:rPr>
      </w:pPr>
      <w:r>
        <w:rPr>
          <w:rFonts w:eastAsia="仿宋"/>
          <w:sz w:val="32"/>
          <w:szCs w:val="32"/>
        </w:rPr>
        <w:t>（图3：支出决算结构图）</w:t>
      </w:r>
    </w:p>
    <w:p>
      <w:pPr>
        <w:pStyle w:val="2"/>
        <w:spacing w:before="93" w:line="560" w:lineRule="exact"/>
        <w:rPr>
          <w:rFonts w:ascii="Times New Roman"/>
        </w:rPr>
      </w:pPr>
      <w:r>
        <w:rPr>
          <w:rFonts w:ascii="Times New Roman"/>
        </w:rPr>
        <w:drawing>
          <wp:anchor distT="0" distB="0" distL="114300" distR="114300" simplePos="0" relativeHeight="251663360" behindDoc="0" locked="0" layoutInCell="1" allowOverlap="1">
            <wp:simplePos x="0" y="0"/>
            <wp:positionH relativeFrom="column">
              <wp:posOffset>284480</wp:posOffset>
            </wp:positionH>
            <wp:positionV relativeFrom="paragraph">
              <wp:posOffset>34925</wp:posOffset>
            </wp:positionV>
            <wp:extent cx="4475480" cy="2265045"/>
            <wp:effectExtent l="4445" t="4445" r="15875" b="16510"/>
            <wp:wrapSquare wrapText="bothSides"/>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line="560" w:lineRule="exact"/>
        <w:ind w:firstLine="640" w:firstLineChars="200"/>
        <w:outlineLvl w:val="1"/>
        <w:rPr>
          <w:rFonts w:eastAsia="黑体"/>
          <w:sz w:val="32"/>
          <w:szCs w:val="32"/>
        </w:rPr>
      </w:pPr>
      <w:bookmarkStart w:id="24" w:name="_Toc15377208"/>
      <w:bookmarkStart w:id="25" w:name="_Toc15396606"/>
    </w:p>
    <w:p>
      <w:pPr>
        <w:adjustRightInd w:val="0"/>
        <w:snapToGrid w:val="0"/>
        <w:spacing w:line="560" w:lineRule="exact"/>
        <w:ind w:firstLine="640" w:firstLineChars="200"/>
        <w:outlineLvl w:val="1"/>
        <w:rPr>
          <w:rFonts w:eastAsia="黑体"/>
          <w:sz w:val="32"/>
          <w:szCs w:val="32"/>
        </w:rPr>
      </w:pPr>
    </w:p>
    <w:p>
      <w:pPr>
        <w:adjustRightInd w:val="0"/>
        <w:snapToGrid w:val="0"/>
        <w:spacing w:line="560" w:lineRule="exact"/>
        <w:ind w:firstLine="640" w:firstLineChars="200"/>
        <w:outlineLvl w:val="1"/>
        <w:rPr>
          <w:rFonts w:eastAsia="黑体"/>
          <w:sz w:val="32"/>
          <w:szCs w:val="32"/>
        </w:rPr>
      </w:pPr>
    </w:p>
    <w:p>
      <w:pPr>
        <w:adjustRightInd w:val="0"/>
        <w:snapToGrid w:val="0"/>
        <w:spacing w:line="560" w:lineRule="exact"/>
        <w:ind w:firstLine="640" w:firstLineChars="200"/>
        <w:outlineLvl w:val="1"/>
        <w:rPr>
          <w:rFonts w:eastAsia="黑体"/>
          <w:sz w:val="32"/>
          <w:szCs w:val="32"/>
        </w:rPr>
      </w:pPr>
    </w:p>
    <w:p>
      <w:pPr>
        <w:adjustRightInd w:val="0"/>
        <w:snapToGrid w:val="0"/>
        <w:spacing w:line="560" w:lineRule="exact"/>
        <w:ind w:firstLine="640" w:firstLineChars="200"/>
        <w:outlineLvl w:val="1"/>
        <w:rPr>
          <w:rFonts w:eastAsia="黑体"/>
          <w:sz w:val="32"/>
          <w:szCs w:val="32"/>
        </w:rPr>
      </w:pPr>
    </w:p>
    <w:p>
      <w:pPr>
        <w:adjustRightInd w:val="0"/>
        <w:snapToGrid w:val="0"/>
        <w:spacing w:line="560" w:lineRule="exact"/>
        <w:ind w:firstLine="640" w:firstLineChars="200"/>
        <w:outlineLvl w:val="1"/>
        <w:rPr>
          <w:rFonts w:eastAsia="黑体"/>
          <w:sz w:val="32"/>
          <w:szCs w:val="32"/>
        </w:rPr>
      </w:pPr>
    </w:p>
    <w:p>
      <w:pPr>
        <w:adjustRightInd w:val="0"/>
        <w:snapToGrid w:val="0"/>
        <w:spacing w:line="560" w:lineRule="exact"/>
        <w:ind w:firstLine="640" w:firstLineChars="200"/>
        <w:outlineLvl w:val="1"/>
        <w:rPr>
          <w:rStyle w:val="26"/>
          <w:rFonts w:ascii="Times New Roman" w:hAnsi="Times New Roman" w:eastAsia="黑体" w:cs="Times New Roman"/>
          <w:b w:val="0"/>
        </w:rPr>
      </w:pPr>
      <w:r>
        <w:rPr>
          <w:rFonts w:eastAsia="黑体"/>
          <w:sz w:val="32"/>
          <w:szCs w:val="32"/>
        </w:rPr>
        <w:t>四、财</w:t>
      </w:r>
      <w:r>
        <w:rPr>
          <w:rStyle w:val="26"/>
          <w:rFonts w:ascii="Times New Roman" w:hAnsi="Times New Roman" w:eastAsia="黑体" w:cs="Times New Roman"/>
          <w:b w:val="0"/>
        </w:rPr>
        <w:t>政拨款收入支出决算总体情况说明</w:t>
      </w:r>
      <w:bookmarkEnd w:id="24"/>
      <w:bookmarkEnd w:id="25"/>
    </w:p>
    <w:p>
      <w:pPr>
        <w:adjustRightInd w:val="0"/>
        <w:snapToGrid w:val="0"/>
        <w:spacing w:line="560" w:lineRule="exact"/>
        <w:ind w:firstLine="640" w:firstLineChars="200"/>
        <w:rPr>
          <w:rFonts w:eastAsia="仿宋"/>
          <w:sz w:val="32"/>
          <w:szCs w:val="32"/>
          <w:highlight w:val="green"/>
        </w:rPr>
      </w:pPr>
      <w:r>
        <w:rPr>
          <w:rFonts w:eastAsia="仿宋"/>
          <w:sz w:val="32"/>
          <w:szCs w:val="32"/>
        </w:rPr>
        <w:t>2022年财政拨款收、支总计2021.8万元。增加461.49万元，增长29.58%。主要变动原因是</w:t>
      </w:r>
      <w:r>
        <w:rPr>
          <w:rFonts w:eastAsia="仿宋_GB2312"/>
          <w:kern w:val="0"/>
          <w:sz w:val="32"/>
          <w:szCs w:val="32"/>
        </w:rPr>
        <w:t>2022年人员经费增加了。</w:t>
      </w:r>
    </w:p>
    <w:p>
      <w:pPr>
        <w:adjustRightInd w:val="0"/>
        <w:snapToGrid w:val="0"/>
        <w:spacing w:line="560" w:lineRule="exact"/>
        <w:ind w:firstLine="640" w:firstLineChars="200"/>
        <w:rPr>
          <w:rFonts w:eastAsia="仿宋"/>
          <w:sz w:val="32"/>
          <w:szCs w:val="32"/>
        </w:rPr>
      </w:pPr>
      <w:r>
        <w:rPr>
          <w:rFonts w:eastAsia="仿宋"/>
          <w:sz w:val="32"/>
          <w:szCs w:val="32"/>
        </w:rPr>
        <w:t>（图4：财政拨款收、支决算总计变动情况）</w:t>
      </w:r>
    </w:p>
    <w:p>
      <w:pPr>
        <w:pStyle w:val="2"/>
        <w:spacing w:before="93"/>
        <w:rPr>
          <w:rFonts w:ascii="Times New Roman"/>
        </w:rPr>
      </w:pPr>
      <w:r>
        <w:rPr>
          <w:rFonts w:ascii="Times New Roman"/>
        </w:rPr>
        <w:drawing>
          <wp:anchor distT="0" distB="0" distL="114300" distR="114300" simplePos="0" relativeHeight="251664384" behindDoc="0" locked="0" layoutInCell="1" allowOverlap="1">
            <wp:simplePos x="0" y="0"/>
            <wp:positionH relativeFrom="column">
              <wp:posOffset>297180</wp:posOffset>
            </wp:positionH>
            <wp:positionV relativeFrom="paragraph">
              <wp:posOffset>146685</wp:posOffset>
            </wp:positionV>
            <wp:extent cx="4821555" cy="1732915"/>
            <wp:effectExtent l="4445" t="5080" r="12700" b="14605"/>
            <wp:wrapSquare wrapText="bothSides"/>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26" w:name="_Toc15377209"/>
      <w:bookmarkStart w:id="27" w:name="_Toc15396607"/>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ind w:firstLine="640" w:firstLineChars="200"/>
        <w:rPr>
          <w:rStyle w:val="26"/>
          <w:rFonts w:ascii="Times New Roman" w:hAnsi="Times New Roman" w:eastAsia="黑体" w:cs="Times New Roman"/>
          <w:b w:val="0"/>
        </w:rPr>
      </w:pPr>
      <w:r>
        <w:rPr>
          <w:rFonts w:ascii="Times New Roman" w:eastAsia="黑体"/>
          <w:sz w:val="32"/>
          <w:szCs w:val="32"/>
        </w:rPr>
        <w:t>五、</w:t>
      </w:r>
      <w:r>
        <w:rPr>
          <w:rFonts w:ascii="Times New Roman" w:eastAsia="黑体"/>
          <w:b/>
          <w:sz w:val="32"/>
          <w:szCs w:val="32"/>
        </w:rPr>
        <w:t>一</w:t>
      </w:r>
      <w:r>
        <w:rPr>
          <w:rStyle w:val="26"/>
          <w:rFonts w:ascii="Times New Roman" w:hAnsi="Times New Roman" w:eastAsia="黑体" w:cs="Times New Roman"/>
          <w:b w:val="0"/>
        </w:rPr>
        <w:t>般公共预算财政拨款支出决算情况说明</w:t>
      </w:r>
      <w:bookmarkEnd w:id="26"/>
      <w:bookmarkEnd w:id="27"/>
    </w:p>
    <w:p>
      <w:pPr>
        <w:adjustRightInd w:val="0"/>
        <w:snapToGrid w:val="0"/>
        <w:spacing w:line="560" w:lineRule="exact"/>
        <w:ind w:firstLine="643" w:firstLineChars="200"/>
        <w:outlineLvl w:val="2"/>
        <w:rPr>
          <w:rFonts w:eastAsia="仿宋"/>
          <w:b/>
          <w:sz w:val="32"/>
          <w:szCs w:val="32"/>
        </w:rPr>
      </w:pPr>
      <w:bookmarkStart w:id="28" w:name="_Toc15377210"/>
      <w:r>
        <w:rPr>
          <w:rFonts w:eastAsia="仿宋"/>
          <w:b/>
          <w:sz w:val="32"/>
          <w:szCs w:val="32"/>
        </w:rPr>
        <w:t>（一）一般公共预算财政拨款支出决算总体情况</w:t>
      </w:r>
      <w:bookmarkEnd w:id="28"/>
    </w:p>
    <w:p>
      <w:pPr>
        <w:adjustRightInd w:val="0"/>
        <w:snapToGrid w:val="0"/>
        <w:spacing w:line="560" w:lineRule="exact"/>
        <w:ind w:firstLine="640" w:firstLineChars="200"/>
        <w:rPr>
          <w:rFonts w:eastAsia="仿宋_GB2312"/>
          <w:kern w:val="0"/>
          <w:sz w:val="32"/>
          <w:szCs w:val="32"/>
        </w:rPr>
      </w:pPr>
      <w:r>
        <w:rPr>
          <w:rFonts w:eastAsia="仿宋"/>
          <w:sz w:val="32"/>
          <w:szCs w:val="32"/>
        </w:rPr>
        <w:t>2022年一般公共预算财政拨款支出2021.79万元，占本年支出合计的100%。与2021年相比，一般公共预算财政拨款支出增加470.42万元，增长30.32%。</w:t>
      </w:r>
      <w:r>
        <w:rPr>
          <w:rFonts w:eastAsia="仿宋_GB2312"/>
          <w:kern w:val="0"/>
          <w:sz w:val="32"/>
          <w:szCs w:val="32"/>
        </w:rPr>
        <w:t>主要是2022年人员经费增加了。</w:t>
      </w:r>
    </w:p>
    <w:p>
      <w:pPr>
        <w:adjustRightInd w:val="0"/>
        <w:snapToGrid w:val="0"/>
        <w:spacing w:line="560" w:lineRule="exact"/>
        <w:ind w:firstLine="420" w:firstLineChars="200"/>
        <w:rPr>
          <w:rFonts w:eastAsia="仿宋"/>
          <w:sz w:val="32"/>
          <w:szCs w:val="32"/>
        </w:rPr>
      </w:pPr>
      <w:r>
        <w:drawing>
          <wp:anchor distT="0" distB="0" distL="114300" distR="114300" simplePos="0" relativeHeight="251665408" behindDoc="0" locked="0" layoutInCell="1" allowOverlap="1">
            <wp:simplePos x="0" y="0"/>
            <wp:positionH relativeFrom="column">
              <wp:posOffset>203835</wp:posOffset>
            </wp:positionH>
            <wp:positionV relativeFrom="paragraph">
              <wp:posOffset>760095</wp:posOffset>
            </wp:positionV>
            <wp:extent cx="4799965" cy="2136140"/>
            <wp:effectExtent l="4445" t="5080" r="15240" b="11430"/>
            <wp:wrapSquare wrapText="bothSides"/>
            <wp:docPr id="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sz w:val="32"/>
          <w:szCs w:val="32"/>
        </w:rPr>
        <w:t>（图5：一般公共预算财政拨款支出决算变动情况）</w:t>
      </w:r>
    </w:p>
    <w:p>
      <w:pPr>
        <w:pStyle w:val="2"/>
        <w:spacing w:before="93"/>
        <w:ind w:firstLine="643" w:firstLineChars="200"/>
        <w:rPr>
          <w:rFonts w:ascii="Times New Roman" w:eastAsia="仿宋"/>
          <w:b/>
          <w:sz w:val="32"/>
          <w:szCs w:val="32"/>
        </w:rPr>
      </w:pPr>
      <w:bookmarkStart w:id="29" w:name="_Toc15377211"/>
    </w:p>
    <w:p>
      <w:pPr>
        <w:pStyle w:val="2"/>
        <w:spacing w:before="93"/>
        <w:ind w:firstLine="643" w:firstLineChars="200"/>
        <w:rPr>
          <w:rFonts w:ascii="Times New Roman" w:eastAsia="仿宋"/>
          <w:b/>
          <w:sz w:val="32"/>
          <w:szCs w:val="32"/>
        </w:rPr>
      </w:pPr>
    </w:p>
    <w:p>
      <w:pPr>
        <w:pStyle w:val="2"/>
        <w:spacing w:before="93"/>
        <w:ind w:firstLine="643" w:firstLineChars="200"/>
        <w:rPr>
          <w:rFonts w:ascii="Times New Roman" w:eastAsia="仿宋"/>
          <w:b/>
          <w:sz w:val="32"/>
          <w:szCs w:val="32"/>
        </w:rPr>
      </w:pPr>
    </w:p>
    <w:p>
      <w:pPr>
        <w:pStyle w:val="2"/>
        <w:spacing w:before="93"/>
        <w:ind w:firstLine="643" w:firstLineChars="200"/>
        <w:rPr>
          <w:rFonts w:ascii="Times New Roman" w:eastAsia="仿宋"/>
          <w:b/>
          <w:sz w:val="32"/>
          <w:szCs w:val="32"/>
        </w:rPr>
      </w:pPr>
    </w:p>
    <w:p>
      <w:pPr>
        <w:pStyle w:val="2"/>
        <w:spacing w:before="93"/>
        <w:ind w:firstLine="643" w:firstLineChars="200"/>
        <w:rPr>
          <w:rFonts w:ascii="Times New Roman" w:eastAsia="仿宋"/>
          <w:b/>
          <w:sz w:val="32"/>
          <w:szCs w:val="32"/>
        </w:rPr>
      </w:pPr>
    </w:p>
    <w:p>
      <w:pPr>
        <w:pStyle w:val="2"/>
        <w:spacing w:before="93"/>
        <w:ind w:firstLine="643" w:firstLineChars="200"/>
        <w:rPr>
          <w:rFonts w:ascii="Times New Roman" w:eastAsia="仿宋"/>
          <w:b/>
          <w:sz w:val="32"/>
          <w:szCs w:val="32"/>
        </w:rPr>
      </w:pPr>
    </w:p>
    <w:p>
      <w:pPr>
        <w:pStyle w:val="2"/>
        <w:spacing w:before="93"/>
        <w:ind w:firstLine="643" w:firstLineChars="200"/>
        <w:rPr>
          <w:rFonts w:ascii="Times New Roman" w:eastAsia="仿宋"/>
          <w:b/>
          <w:sz w:val="32"/>
          <w:szCs w:val="32"/>
        </w:rPr>
      </w:pPr>
      <w:r>
        <w:rPr>
          <w:rFonts w:ascii="Times New Roman" w:eastAsia="仿宋"/>
          <w:b/>
          <w:sz w:val="32"/>
          <w:szCs w:val="32"/>
        </w:rPr>
        <w:t>（二）一般公共预算财政拨款支出决算结构情况</w:t>
      </w:r>
      <w:bookmarkEnd w:id="29"/>
    </w:p>
    <w:p>
      <w:pPr>
        <w:adjustRightInd w:val="0"/>
        <w:snapToGrid w:val="0"/>
        <w:spacing w:line="560" w:lineRule="exact"/>
        <w:ind w:firstLine="640" w:firstLineChars="200"/>
        <w:rPr>
          <w:rFonts w:eastAsia="仿宋"/>
          <w:sz w:val="32"/>
          <w:szCs w:val="32"/>
        </w:rPr>
      </w:pPr>
      <w:r>
        <w:rPr>
          <w:rFonts w:eastAsia="仿宋"/>
          <w:sz w:val="32"/>
          <w:szCs w:val="32"/>
        </w:rPr>
        <w:t>2022年一般公共预算财政拨款支出2021.79万元，主要用于以下方面:一般公共服务支出0万元，占0%；教育支出0万元，占0%；科学技术支出0万元，占0%；文化旅游体育与传媒支出0万元，占0%；社会保障和就业支出289.52万元，占14.32%；卫生健康支出0.18万元，占0.01%；农林水支出1623.75万元，占80.31%；住房保障支出108.34万元，占5.36%。</w:t>
      </w:r>
    </w:p>
    <w:p>
      <w:pPr>
        <w:adjustRightInd w:val="0"/>
        <w:snapToGrid w:val="0"/>
        <w:spacing w:line="560" w:lineRule="exact"/>
        <w:ind w:firstLine="640" w:firstLineChars="200"/>
        <w:rPr>
          <w:rFonts w:eastAsia="仿宋"/>
          <w:sz w:val="32"/>
          <w:szCs w:val="32"/>
        </w:rPr>
      </w:pPr>
      <w:r>
        <w:rPr>
          <w:rFonts w:eastAsia="仿宋"/>
          <w:sz w:val="32"/>
          <w:szCs w:val="32"/>
        </w:rPr>
        <w:t>（图6：一般公共预算财政拨款支出决算结构）</w:t>
      </w:r>
    </w:p>
    <w:p>
      <w:pPr>
        <w:adjustRightInd w:val="0"/>
        <w:snapToGrid w:val="0"/>
        <w:spacing w:line="560" w:lineRule="exact"/>
        <w:ind w:firstLine="420" w:firstLineChars="200"/>
        <w:rPr>
          <w:rFonts w:eastAsia="仿宋"/>
          <w:sz w:val="32"/>
          <w:szCs w:val="32"/>
        </w:rPr>
      </w:pPr>
      <w:r>
        <w:drawing>
          <wp:anchor distT="0" distB="0" distL="114300" distR="114300" simplePos="0" relativeHeight="251659264" behindDoc="0" locked="0" layoutInCell="1" allowOverlap="1">
            <wp:simplePos x="0" y="0"/>
            <wp:positionH relativeFrom="column">
              <wp:posOffset>283845</wp:posOffset>
            </wp:positionH>
            <wp:positionV relativeFrom="paragraph">
              <wp:posOffset>306070</wp:posOffset>
            </wp:positionV>
            <wp:extent cx="4572000" cy="2743200"/>
            <wp:effectExtent l="4445" t="4445" r="14605" b="14605"/>
            <wp:wrapSquare wrapText="bothSides"/>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560" w:lineRule="exact"/>
        <w:ind w:firstLine="643" w:firstLineChars="200"/>
        <w:outlineLvl w:val="2"/>
        <w:rPr>
          <w:rFonts w:eastAsia="仿宋"/>
          <w:b/>
          <w:sz w:val="32"/>
          <w:szCs w:val="32"/>
        </w:rPr>
      </w:pPr>
      <w:bookmarkStart w:id="30" w:name="_Toc15377212"/>
    </w:p>
    <w:p>
      <w:pPr>
        <w:adjustRightInd w:val="0"/>
        <w:snapToGrid w:val="0"/>
        <w:spacing w:line="560" w:lineRule="exact"/>
        <w:ind w:firstLine="643" w:firstLineChars="200"/>
        <w:outlineLvl w:val="2"/>
        <w:rPr>
          <w:rFonts w:eastAsia="仿宋"/>
          <w:b/>
          <w:sz w:val="32"/>
          <w:szCs w:val="32"/>
        </w:rPr>
      </w:pPr>
    </w:p>
    <w:p>
      <w:pPr>
        <w:adjustRightInd w:val="0"/>
        <w:snapToGrid w:val="0"/>
        <w:spacing w:line="560" w:lineRule="exact"/>
        <w:ind w:firstLine="643" w:firstLineChars="200"/>
        <w:outlineLvl w:val="2"/>
        <w:rPr>
          <w:rFonts w:eastAsia="仿宋"/>
          <w:b/>
          <w:sz w:val="32"/>
          <w:szCs w:val="32"/>
        </w:rPr>
      </w:pPr>
    </w:p>
    <w:p>
      <w:pPr>
        <w:adjustRightInd w:val="0"/>
        <w:snapToGrid w:val="0"/>
        <w:spacing w:line="560" w:lineRule="exact"/>
        <w:ind w:firstLine="643" w:firstLineChars="200"/>
        <w:outlineLvl w:val="2"/>
        <w:rPr>
          <w:rFonts w:eastAsia="仿宋"/>
          <w:b/>
          <w:sz w:val="32"/>
          <w:szCs w:val="32"/>
        </w:rPr>
      </w:pPr>
    </w:p>
    <w:p>
      <w:pPr>
        <w:adjustRightInd w:val="0"/>
        <w:snapToGrid w:val="0"/>
        <w:spacing w:line="560" w:lineRule="exact"/>
        <w:ind w:firstLine="643" w:firstLineChars="200"/>
        <w:outlineLvl w:val="2"/>
        <w:rPr>
          <w:rFonts w:eastAsia="仿宋"/>
          <w:b/>
          <w:sz w:val="32"/>
          <w:szCs w:val="32"/>
        </w:rPr>
      </w:pPr>
      <w:r>
        <w:rPr>
          <w:rFonts w:eastAsia="仿宋"/>
          <w:b/>
          <w:sz w:val="32"/>
          <w:szCs w:val="32"/>
        </w:rPr>
        <w:t>（三）一般公共预算财政拨款支出决算具体情况</w:t>
      </w:r>
      <w:bookmarkEnd w:id="30"/>
    </w:p>
    <w:p>
      <w:pPr>
        <w:adjustRightInd w:val="0"/>
        <w:snapToGrid w:val="0"/>
        <w:spacing w:line="560" w:lineRule="exact"/>
        <w:ind w:firstLine="640" w:firstLineChars="200"/>
        <w:outlineLvl w:val="2"/>
        <w:rPr>
          <w:rFonts w:eastAsia="仿宋"/>
          <w:bCs/>
          <w:sz w:val="32"/>
          <w:szCs w:val="32"/>
        </w:rPr>
      </w:pPr>
      <w:bookmarkStart w:id="31" w:name="_Toc15377444"/>
      <w:bookmarkStart w:id="32" w:name="_Toc15378460"/>
      <w:bookmarkStart w:id="33" w:name="_Toc15377213"/>
      <w:r>
        <w:rPr>
          <w:rFonts w:eastAsia="仿宋"/>
          <w:bCs/>
          <w:sz w:val="32"/>
          <w:szCs w:val="32"/>
        </w:rPr>
        <w:t>2022年一般公共预算支出决算数为2021.79万元，</w:t>
      </w:r>
      <w:r>
        <w:rPr>
          <w:rStyle w:val="15"/>
          <w:rFonts w:eastAsia="仿宋"/>
          <w:b w:val="0"/>
          <w:bCs/>
          <w:sz w:val="32"/>
          <w:szCs w:val="32"/>
        </w:rPr>
        <w:t>完成预算100%。其中：</w:t>
      </w:r>
      <w:bookmarkEnd w:id="31"/>
      <w:bookmarkEnd w:id="32"/>
      <w:bookmarkEnd w:id="33"/>
    </w:p>
    <w:p>
      <w:pPr>
        <w:adjustRightInd w:val="0"/>
        <w:snapToGrid w:val="0"/>
        <w:spacing w:line="560" w:lineRule="exact"/>
        <w:ind w:firstLine="640" w:firstLineChars="200"/>
        <w:rPr>
          <w:rFonts w:eastAsia="仿宋"/>
          <w:bCs/>
          <w:sz w:val="32"/>
          <w:szCs w:val="32"/>
        </w:rPr>
      </w:pPr>
      <w:r>
        <w:rPr>
          <w:rStyle w:val="15"/>
          <w:rFonts w:eastAsia="仿宋"/>
          <w:b w:val="0"/>
          <w:bCs/>
          <w:sz w:val="32"/>
          <w:szCs w:val="32"/>
        </w:rPr>
        <w:t>1.社会保障和就业（类）行政事业单位离退休（款）行政单位离退休（项）</w:t>
      </w:r>
      <w:r>
        <w:rPr>
          <w:rFonts w:eastAsia="仿宋_GB2312"/>
          <w:bCs/>
          <w:sz w:val="32"/>
          <w:szCs w:val="32"/>
        </w:rPr>
        <w:t>：</w:t>
      </w:r>
      <w:r>
        <w:rPr>
          <w:rStyle w:val="15"/>
          <w:rFonts w:eastAsia="仿宋"/>
          <w:b w:val="0"/>
          <w:bCs/>
          <w:sz w:val="32"/>
          <w:szCs w:val="32"/>
        </w:rPr>
        <w:t>支出决算为178.58万元，完成预算100%。</w:t>
      </w:r>
    </w:p>
    <w:p>
      <w:pPr>
        <w:adjustRightInd w:val="0"/>
        <w:snapToGrid w:val="0"/>
        <w:spacing w:line="560" w:lineRule="exact"/>
        <w:ind w:firstLine="640" w:firstLineChars="200"/>
        <w:rPr>
          <w:rFonts w:eastAsia="仿宋"/>
          <w:bCs/>
          <w:sz w:val="32"/>
          <w:szCs w:val="32"/>
        </w:rPr>
      </w:pPr>
      <w:r>
        <w:rPr>
          <w:rStyle w:val="15"/>
          <w:rFonts w:eastAsia="仿宋"/>
          <w:b w:val="0"/>
          <w:bCs/>
          <w:sz w:val="32"/>
          <w:szCs w:val="32"/>
        </w:rPr>
        <w:t>2.社会保障和就业（类）行政事业单位离退休（款）事业单位离退休（项）: 支出决算为1.82万元，完成预算100%。</w:t>
      </w:r>
    </w:p>
    <w:p>
      <w:pPr>
        <w:adjustRightInd w:val="0"/>
        <w:snapToGrid w:val="0"/>
        <w:spacing w:line="560" w:lineRule="exact"/>
        <w:ind w:firstLine="640" w:firstLineChars="200"/>
        <w:rPr>
          <w:rFonts w:eastAsia="仿宋"/>
          <w:bCs/>
          <w:sz w:val="32"/>
          <w:szCs w:val="32"/>
        </w:rPr>
      </w:pPr>
      <w:r>
        <w:rPr>
          <w:rStyle w:val="15"/>
          <w:rFonts w:eastAsia="仿宋"/>
          <w:b w:val="0"/>
          <w:bCs/>
          <w:sz w:val="32"/>
          <w:szCs w:val="32"/>
        </w:rPr>
        <w:t>3.</w:t>
      </w:r>
      <w:r>
        <w:rPr>
          <w:rFonts w:eastAsia="仿宋_GB2312"/>
          <w:bCs/>
          <w:sz w:val="32"/>
          <w:szCs w:val="32"/>
        </w:rPr>
        <w:t>社会保障和就业（类）行政事业单位离退休（款）机关事业单位基本养老保险缴费支出</w:t>
      </w:r>
      <w:r>
        <w:rPr>
          <w:rStyle w:val="15"/>
          <w:rFonts w:eastAsia="仿宋"/>
          <w:b w:val="0"/>
          <w:bCs/>
          <w:sz w:val="32"/>
          <w:szCs w:val="32"/>
        </w:rPr>
        <w:t>（项）: 支出决算为84.24万元，完成预算100%。</w:t>
      </w:r>
    </w:p>
    <w:p>
      <w:pPr>
        <w:adjustRightInd w:val="0"/>
        <w:snapToGrid w:val="0"/>
        <w:spacing w:line="560" w:lineRule="exact"/>
        <w:ind w:firstLine="640" w:firstLineChars="200"/>
        <w:rPr>
          <w:rStyle w:val="15"/>
          <w:rFonts w:eastAsia="仿宋"/>
          <w:b w:val="0"/>
          <w:bCs/>
          <w:sz w:val="32"/>
          <w:szCs w:val="32"/>
        </w:rPr>
      </w:pPr>
      <w:r>
        <w:rPr>
          <w:rStyle w:val="15"/>
          <w:rFonts w:eastAsia="仿宋"/>
          <w:b w:val="0"/>
          <w:bCs/>
          <w:sz w:val="32"/>
          <w:szCs w:val="32"/>
        </w:rPr>
        <w:t>4.社会保障和就业（类）抚恤（款）死亡抚恤（项）</w:t>
      </w:r>
      <w:r>
        <w:rPr>
          <w:rFonts w:eastAsia="仿宋_GB2312"/>
          <w:bCs/>
          <w:sz w:val="32"/>
          <w:szCs w:val="32"/>
        </w:rPr>
        <w:t>:支出决算为24.37万元，完成预算100%</w:t>
      </w:r>
      <w:r>
        <w:rPr>
          <w:rStyle w:val="15"/>
          <w:rFonts w:eastAsia="仿宋"/>
          <w:b w:val="0"/>
          <w:bCs/>
          <w:sz w:val="32"/>
          <w:szCs w:val="32"/>
        </w:rPr>
        <w:t>，</w:t>
      </w:r>
    </w:p>
    <w:p>
      <w:pPr>
        <w:pStyle w:val="2"/>
        <w:spacing w:before="93" w:line="560" w:lineRule="exact"/>
        <w:ind w:firstLine="640"/>
        <w:rPr>
          <w:rFonts w:ascii="Times New Roman"/>
          <w:bCs/>
          <w:sz w:val="32"/>
          <w:szCs w:val="32"/>
        </w:rPr>
      </w:pPr>
      <w:r>
        <w:rPr>
          <w:rStyle w:val="15"/>
          <w:rFonts w:ascii="Times New Roman" w:eastAsia="仿宋"/>
          <w:b w:val="0"/>
          <w:bCs/>
          <w:kern w:val="2"/>
          <w:sz w:val="32"/>
          <w:szCs w:val="32"/>
        </w:rPr>
        <w:t>5.社会保障和就业（类）社会福利（款）儿童福利（项）:</w:t>
      </w:r>
      <w:r>
        <w:rPr>
          <w:rFonts w:ascii="Times New Roman"/>
          <w:bCs/>
          <w:sz w:val="32"/>
          <w:szCs w:val="32"/>
        </w:rPr>
        <w:t>支出决算为0.50万元，完成预算100%。</w:t>
      </w:r>
    </w:p>
    <w:p>
      <w:pPr>
        <w:pStyle w:val="2"/>
        <w:spacing w:before="93" w:line="560" w:lineRule="exact"/>
        <w:ind w:firstLine="640"/>
        <w:rPr>
          <w:rFonts w:ascii="Times New Roman"/>
          <w:bCs/>
          <w:sz w:val="32"/>
          <w:szCs w:val="32"/>
        </w:rPr>
      </w:pPr>
      <w:r>
        <w:rPr>
          <w:rFonts w:ascii="Times New Roman"/>
          <w:bCs/>
          <w:sz w:val="32"/>
          <w:szCs w:val="32"/>
        </w:rPr>
        <w:t>6.</w:t>
      </w:r>
      <w:r>
        <w:rPr>
          <w:rStyle w:val="15"/>
          <w:rFonts w:ascii="Times New Roman" w:eastAsia="仿宋"/>
          <w:b w:val="0"/>
          <w:bCs/>
          <w:kern w:val="2"/>
          <w:sz w:val="32"/>
          <w:szCs w:val="32"/>
        </w:rPr>
        <w:t>卫生健康（类）其他卫生健康支出（款）其他卫生健康支出（项）:</w:t>
      </w:r>
      <w:r>
        <w:rPr>
          <w:rFonts w:ascii="Times New Roman"/>
          <w:bCs/>
          <w:sz w:val="32"/>
          <w:szCs w:val="32"/>
        </w:rPr>
        <w:t>支出决算为0.18万元，完成预算100%。</w:t>
      </w:r>
    </w:p>
    <w:p>
      <w:pPr>
        <w:pStyle w:val="2"/>
        <w:spacing w:before="93" w:line="560" w:lineRule="exact"/>
        <w:ind w:firstLine="640"/>
        <w:rPr>
          <w:rFonts w:ascii="Times New Roman"/>
          <w:bCs/>
          <w:sz w:val="32"/>
          <w:szCs w:val="32"/>
        </w:rPr>
      </w:pPr>
      <w:r>
        <w:rPr>
          <w:rFonts w:ascii="Times New Roman"/>
          <w:bCs/>
          <w:sz w:val="32"/>
          <w:szCs w:val="32"/>
        </w:rPr>
        <w:t>7.农林水支出（类）农业农村（款）行政运行（项）:支出决算为0.11万元，完成预算100%。</w:t>
      </w:r>
    </w:p>
    <w:p>
      <w:pPr>
        <w:pStyle w:val="2"/>
        <w:spacing w:before="93" w:line="560" w:lineRule="exact"/>
        <w:ind w:firstLine="640"/>
        <w:rPr>
          <w:rFonts w:ascii="Times New Roman"/>
          <w:bCs/>
          <w:sz w:val="32"/>
          <w:szCs w:val="32"/>
        </w:rPr>
      </w:pPr>
      <w:r>
        <w:rPr>
          <w:rFonts w:ascii="Times New Roman"/>
          <w:bCs/>
          <w:sz w:val="32"/>
          <w:szCs w:val="32"/>
        </w:rPr>
        <w:t>8.农林水支出（类）水利（款）行政运行（项）:支出决算为808.12万元，完成预算100%。</w:t>
      </w:r>
    </w:p>
    <w:p>
      <w:pPr>
        <w:pStyle w:val="2"/>
        <w:spacing w:before="93" w:line="560" w:lineRule="exact"/>
        <w:ind w:firstLine="640"/>
        <w:rPr>
          <w:rFonts w:ascii="Times New Roman"/>
          <w:bCs/>
          <w:sz w:val="32"/>
          <w:szCs w:val="32"/>
        </w:rPr>
      </w:pPr>
      <w:r>
        <w:rPr>
          <w:rFonts w:ascii="Times New Roman"/>
          <w:bCs/>
          <w:sz w:val="32"/>
          <w:szCs w:val="32"/>
        </w:rPr>
        <w:t>9.农林水支出（类）水利（款）水土保持（项）:支出决算为13.9万元，完成预算100%。</w:t>
      </w:r>
    </w:p>
    <w:p>
      <w:pPr>
        <w:pStyle w:val="2"/>
        <w:spacing w:before="93" w:line="560" w:lineRule="exact"/>
        <w:ind w:firstLine="640"/>
        <w:rPr>
          <w:rFonts w:ascii="Times New Roman"/>
          <w:bCs/>
          <w:sz w:val="32"/>
          <w:szCs w:val="32"/>
        </w:rPr>
      </w:pPr>
      <w:r>
        <w:rPr>
          <w:rFonts w:ascii="Times New Roman"/>
          <w:bCs/>
          <w:sz w:val="32"/>
          <w:szCs w:val="32"/>
        </w:rPr>
        <w:t>10.农林水支出（类）水利（款）水资源节约管理与保护（项）:支出决算为328.00万元，完成预算100%.</w:t>
      </w:r>
    </w:p>
    <w:p>
      <w:pPr>
        <w:spacing w:line="560" w:lineRule="exact"/>
        <w:ind w:firstLine="640" w:firstLineChars="200"/>
        <w:rPr>
          <w:rFonts w:eastAsia="仿宋_GB2312"/>
          <w:bCs/>
          <w:sz w:val="32"/>
          <w:szCs w:val="32"/>
        </w:rPr>
      </w:pPr>
      <w:r>
        <w:rPr>
          <w:bCs/>
          <w:sz w:val="32"/>
          <w:szCs w:val="32"/>
        </w:rPr>
        <w:t>11.</w:t>
      </w:r>
      <w:r>
        <w:rPr>
          <w:rFonts w:eastAsia="仿宋_GB2312"/>
          <w:bCs/>
          <w:sz w:val="32"/>
          <w:szCs w:val="32"/>
        </w:rPr>
        <w:t>农林水支出（类）水利（款）防汛（项）:支出决算为109.64万元，完成预算100%。</w:t>
      </w:r>
    </w:p>
    <w:p>
      <w:pPr>
        <w:pStyle w:val="2"/>
        <w:spacing w:before="93" w:line="560" w:lineRule="exact"/>
        <w:rPr>
          <w:rFonts w:ascii="Times New Roman"/>
          <w:bCs/>
        </w:rPr>
      </w:pPr>
      <w:r>
        <w:rPr>
          <w:rFonts w:ascii="Times New Roman"/>
          <w:bCs/>
          <w:sz w:val="32"/>
          <w:szCs w:val="32"/>
        </w:rPr>
        <w:t xml:space="preserve">    12.农林水支出（类）水利（款）其他水利支出（项）:支出决算为363.99万元，完成预算100%。</w:t>
      </w:r>
    </w:p>
    <w:p>
      <w:pPr>
        <w:adjustRightInd w:val="0"/>
        <w:snapToGrid w:val="0"/>
        <w:spacing w:line="560" w:lineRule="exact"/>
        <w:ind w:firstLine="640" w:firstLineChars="200"/>
        <w:rPr>
          <w:rFonts w:eastAsia="仿宋_GB2312"/>
          <w:bCs/>
          <w:sz w:val="32"/>
          <w:szCs w:val="32"/>
        </w:rPr>
      </w:pPr>
      <w:r>
        <w:rPr>
          <w:rStyle w:val="15"/>
          <w:rFonts w:eastAsia="仿宋"/>
          <w:b w:val="0"/>
          <w:bCs/>
          <w:sz w:val="32"/>
          <w:szCs w:val="32"/>
        </w:rPr>
        <w:t>13.</w:t>
      </w:r>
      <w:r>
        <w:rPr>
          <w:rFonts w:eastAsia="仿宋_GB2312"/>
          <w:bCs/>
          <w:sz w:val="32"/>
          <w:szCs w:val="32"/>
        </w:rPr>
        <w:t>住房保障支出（类）住房改革支出（款）住房公积金（项）:支出决算为108.34万元，完成预算100%。</w:t>
      </w:r>
    </w:p>
    <w:p>
      <w:pPr>
        <w:tabs>
          <w:tab w:val="right" w:pos="8306"/>
        </w:tabs>
        <w:adjustRightInd w:val="0"/>
        <w:snapToGrid w:val="0"/>
        <w:spacing w:line="560" w:lineRule="exact"/>
        <w:ind w:firstLine="640" w:firstLineChars="200"/>
        <w:outlineLvl w:val="1"/>
        <w:rPr>
          <w:rStyle w:val="26"/>
          <w:rFonts w:ascii="Times New Roman" w:hAnsi="Times New Roman" w:cs="Times New Roman"/>
        </w:rPr>
      </w:pPr>
      <w:bookmarkStart w:id="34" w:name="_Toc15377214"/>
      <w:bookmarkStart w:id="35" w:name="_Toc15396608"/>
      <w:r>
        <w:rPr>
          <w:rFonts w:eastAsia="黑体"/>
          <w:sz w:val="32"/>
          <w:szCs w:val="32"/>
        </w:rPr>
        <w:t>六</w:t>
      </w:r>
      <w:r>
        <w:rPr>
          <w:rFonts w:eastAsia="黑体"/>
          <w:b/>
          <w:sz w:val="32"/>
          <w:szCs w:val="32"/>
        </w:rPr>
        <w:t>、一</w:t>
      </w:r>
      <w:r>
        <w:rPr>
          <w:rStyle w:val="26"/>
          <w:rFonts w:ascii="Times New Roman" w:hAnsi="Times New Roman" w:eastAsia="黑体" w:cs="Times New Roman"/>
          <w:b w:val="0"/>
        </w:rPr>
        <w:t>般公共预算财政拨款基本支出决算情况说明</w:t>
      </w:r>
      <w:bookmarkEnd w:id="34"/>
      <w:bookmarkEnd w:id="35"/>
      <w:r>
        <w:rPr>
          <w:rStyle w:val="26"/>
          <w:rFonts w:ascii="Times New Roman" w:hAnsi="Times New Roman" w:eastAsia="黑体" w:cs="Times New Roman"/>
          <w:b w:val="0"/>
        </w:rPr>
        <w:tab/>
      </w:r>
    </w:p>
    <w:p>
      <w:pPr>
        <w:adjustRightInd w:val="0"/>
        <w:snapToGrid w:val="0"/>
        <w:spacing w:line="560" w:lineRule="exact"/>
        <w:ind w:firstLine="640" w:firstLineChars="200"/>
        <w:rPr>
          <w:rFonts w:eastAsia="仿宋"/>
          <w:sz w:val="32"/>
          <w:szCs w:val="32"/>
        </w:rPr>
      </w:pPr>
      <w:r>
        <w:rPr>
          <w:rFonts w:eastAsia="仿宋"/>
          <w:sz w:val="32"/>
          <w:szCs w:val="32"/>
        </w:rPr>
        <w:t>2022年一般公共预算财政拨款基本支出1533.76万元，其中：</w:t>
      </w:r>
    </w:p>
    <w:p>
      <w:pPr>
        <w:adjustRightInd w:val="0"/>
        <w:snapToGrid w:val="0"/>
        <w:spacing w:line="560" w:lineRule="exact"/>
        <w:ind w:firstLine="640" w:firstLineChars="200"/>
        <w:rPr>
          <w:rFonts w:eastAsia="仿宋"/>
          <w:sz w:val="32"/>
          <w:szCs w:val="32"/>
        </w:rPr>
      </w:pPr>
      <w:r>
        <w:rPr>
          <w:rFonts w:eastAsia="仿宋"/>
          <w:sz w:val="32"/>
          <w:szCs w:val="32"/>
        </w:rPr>
        <w:t>人员经费1377.73万元，主要包括：基本工资、津贴补贴、奖金、绩效工资、机关事业单位基本养老保险缴费、职工基本医疗保险缴费、公务员医疗补助缴费、其他社会保障缴费、住房公积金、其他工资福利支出、离休费、抚恤金、生活补助、医疗费补助等。</w:t>
      </w:r>
      <w:r>
        <w:rPr>
          <w:rFonts w:eastAsia="仿宋"/>
          <w:sz w:val="32"/>
          <w:szCs w:val="32"/>
        </w:rPr>
        <w:br w:type="textWrapping"/>
      </w:r>
      <w:r>
        <w:rPr>
          <w:rFonts w:eastAsia="仿宋"/>
          <w:sz w:val="32"/>
          <w:szCs w:val="32"/>
        </w:rPr>
        <w:t>　　公用经费156.03万元，主要包括：办公费、印刷费、水费、电费、邮电费、物业管理费、差旅费、维修（护）费、会议费、培训费、公务接待费、劳务费、委托业务费、工会经费、福利费、公务用车运行维护费、其他交通费、其他商品和服务支出等。</w:t>
      </w:r>
    </w:p>
    <w:p>
      <w:pPr>
        <w:adjustRightInd w:val="0"/>
        <w:snapToGrid w:val="0"/>
        <w:spacing w:line="560" w:lineRule="exact"/>
        <w:ind w:firstLine="640" w:firstLineChars="200"/>
        <w:outlineLvl w:val="1"/>
        <w:rPr>
          <w:rStyle w:val="26"/>
          <w:rFonts w:ascii="Times New Roman" w:hAnsi="Times New Roman" w:eastAsia="黑体" w:cs="Times New Roman"/>
          <w:b w:val="0"/>
        </w:rPr>
      </w:pPr>
      <w:bookmarkStart w:id="36" w:name="_Toc15377215"/>
      <w:bookmarkStart w:id="37" w:name="_Toc15396609"/>
      <w:r>
        <w:rPr>
          <w:rFonts w:eastAsia="黑体"/>
          <w:sz w:val="32"/>
          <w:szCs w:val="32"/>
        </w:rPr>
        <w:t>七、</w:t>
      </w:r>
      <w:r>
        <w:rPr>
          <w:rStyle w:val="26"/>
          <w:rFonts w:ascii="Times New Roman" w:hAnsi="Times New Roman" w:eastAsia="黑体" w:cs="Times New Roman"/>
          <w:b w:val="0"/>
        </w:rPr>
        <w:t>财政拨款</w:t>
      </w:r>
      <w:r>
        <w:rPr>
          <w:rStyle w:val="26"/>
          <w:rFonts w:ascii="Times New Roman" w:hAnsi="Times New Roman" w:eastAsia="黑体" w:cs="Times New Roman"/>
        </w:rPr>
        <w:t>“</w:t>
      </w:r>
      <w:r>
        <w:rPr>
          <w:rStyle w:val="26"/>
          <w:rFonts w:ascii="Times New Roman" w:hAnsi="Times New Roman" w:eastAsia="黑体" w:cs="Times New Roman"/>
          <w:b w:val="0"/>
        </w:rPr>
        <w:t>三公”经费支出决算情况说明</w:t>
      </w:r>
      <w:bookmarkEnd w:id="36"/>
      <w:bookmarkEnd w:id="37"/>
    </w:p>
    <w:p>
      <w:pPr>
        <w:adjustRightInd w:val="0"/>
        <w:snapToGrid w:val="0"/>
        <w:spacing w:line="560" w:lineRule="exact"/>
        <w:ind w:firstLine="643" w:firstLineChars="200"/>
        <w:outlineLvl w:val="2"/>
        <w:rPr>
          <w:rFonts w:eastAsia="仿宋"/>
          <w:b/>
          <w:sz w:val="32"/>
          <w:szCs w:val="32"/>
        </w:rPr>
      </w:pPr>
      <w:bookmarkStart w:id="38" w:name="_Toc15377216"/>
      <w:r>
        <w:rPr>
          <w:rFonts w:eastAsia="仿宋"/>
          <w:b/>
          <w:sz w:val="32"/>
          <w:szCs w:val="32"/>
        </w:rPr>
        <w:t>（一）“三公”经费财政拨款支出决算总体情况说明</w:t>
      </w:r>
      <w:bookmarkEnd w:id="38"/>
    </w:p>
    <w:p>
      <w:pPr>
        <w:spacing w:line="560" w:lineRule="exact"/>
        <w:ind w:firstLine="640" w:firstLineChars="200"/>
        <w:rPr>
          <w:rFonts w:eastAsia="仿宋"/>
          <w:sz w:val="32"/>
          <w:szCs w:val="32"/>
        </w:rPr>
      </w:pPr>
      <w:r>
        <w:rPr>
          <w:rFonts w:eastAsia="仿宋"/>
          <w:sz w:val="32"/>
          <w:szCs w:val="32"/>
        </w:rPr>
        <w:t>2022年“三公”经费财政拨款支出决算为17.2万元，完成预算100%，较上年减少42.31万元，下降71.09%。</w:t>
      </w:r>
    </w:p>
    <w:p>
      <w:pPr>
        <w:adjustRightInd w:val="0"/>
        <w:snapToGrid w:val="0"/>
        <w:spacing w:line="560" w:lineRule="exact"/>
        <w:ind w:firstLine="643" w:firstLineChars="200"/>
        <w:outlineLvl w:val="2"/>
        <w:rPr>
          <w:rFonts w:eastAsia="仿宋"/>
          <w:b/>
          <w:sz w:val="32"/>
          <w:szCs w:val="32"/>
        </w:rPr>
      </w:pPr>
      <w:bookmarkStart w:id="39" w:name="_Toc15377217"/>
      <w:r>
        <w:rPr>
          <w:rFonts w:eastAsia="仿宋"/>
          <w:b/>
          <w:sz w:val="32"/>
          <w:szCs w:val="32"/>
        </w:rPr>
        <w:t>（二）“三公”经费财政拨款支出决算具体情况说明</w:t>
      </w:r>
      <w:bookmarkEnd w:id="39"/>
    </w:p>
    <w:p>
      <w:pPr>
        <w:adjustRightInd w:val="0"/>
        <w:snapToGrid w:val="0"/>
        <w:spacing w:line="560" w:lineRule="exact"/>
        <w:ind w:firstLine="640" w:firstLineChars="200"/>
        <w:rPr>
          <w:rFonts w:eastAsia="仿宋"/>
          <w:sz w:val="32"/>
          <w:szCs w:val="32"/>
        </w:rPr>
      </w:pPr>
      <w:r>
        <w:rPr>
          <w:rFonts w:eastAsia="仿宋"/>
          <w:sz w:val="32"/>
          <w:szCs w:val="32"/>
        </w:rPr>
        <w:t>2022年“三公”经费财政拨款支出决算中，因公出国（境）费支出决算0万元，占0%；公务用车购置及运行维护费支出决算15.01万元，占87.27%；公务接待费支出决算2.19万元，占12.73%。具体情况如下：</w:t>
      </w:r>
    </w:p>
    <w:p>
      <w:pPr>
        <w:adjustRightInd w:val="0"/>
        <w:snapToGrid w:val="0"/>
        <w:spacing w:line="560" w:lineRule="exact"/>
        <w:ind w:firstLine="420" w:firstLineChars="200"/>
        <w:rPr>
          <w:rFonts w:eastAsia="仿宋"/>
          <w:sz w:val="32"/>
          <w:szCs w:val="32"/>
        </w:rPr>
      </w:pPr>
      <w:r>
        <w:drawing>
          <wp:anchor distT="0" distB="0" distL="114300" distR="114300" simplePos="0" relativeHeight="251660288" behindDoc="0" locked="0" layoutInCell="1" allowOverlap="1">
            <wp:simplePos x="0" y="0"/>
            <wp:positionH relativeFrom="column">
              <wp:posOffset>449580</wp:posOffset>
            </wp:positionH>
            <wp:positionV relativeFrom="paragraph">
              <wp:posOffset>539115</wp:posOffset>
            </wp:positionV>
            <wp:extent cx="4298315" cy="2302510"/>
            <wp:effectExtent l="4445" t="4445" r="21590" b="17145"/>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
          <w:sz w:val="32"/>
          <w:szCs w:val="32"/>
        </w:rPr>
        <w:t>（图7：“三公”经费财政拨款支出结构）</w:t>
      </w: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b/>
          <w:sz w:val="32"/>
          <w:szCs w:val="32"/>
        </w:rPr>
      </w:pPr>
    </w:p>
    <w:p>
      <w:pPr>
        <w:adjustRightInd w:val="0"/>
        <w:snapToGrid w:val="0"/>
        <w:spacing w:line="560" w:lineRule="exact"/>
        <w:ind w:firstLine="643" w:firstLineChars="200"/>
        <w:rPr>
          <w:rFonts w:eastAsia="仿宋_GB2312"/>
          <w:sz w:val="32"/>
          <w:szCs w:val="32"/>
        </w:rPr>
      </w:pPr>
      <w:r>
        <w:rPr>
          <w:rFonts w:eastAsia="仿宋_GB2312"/>
          <w:b/>
          <w:sz w:val="32"/>
          <w:szCs w:val="32"/>
        </w:rPr>
        <w:t>1.因公出国（境）经费支出</w:t>
      </w:r>
      <w:r>
        <w:rPr>
          <w:rFonts w:eastAsia="仿宋_GB2312"/>
          <w:sz w:val="32"/>
          <w:szCs w:val="32"/>
        </w:rPr>
        <w:t>0万元，</w:t>
      </w:r>
      <w:r>
        <w:rPr>
          <w:rStyle w:val="15"/>
          <w:rFonts w:eastAsia="仿宋"/>
          <w:b w:val="0"/>
          <w:bCs/>
          <w:sz w:val="32"/>
          <w:szCs w:val="32"/>
        </w:rPr>
        <w:t>完成预算0%。</w:t>
      </w:r>
      <w:r>
        <w:rPr>
          <w:rFonts w:eastAsia="仿宋_GB2312"/>
          <w:sz w:val="32"/>
          <w:szCs w:val="32"/>
        </w:rPr>
        <w:t>全年安排因公出国（境）团组0次，出国（境）0人。</w:t>
      </w:r>
    </w:p>
    <w:p>
      <w:pPr>
        <w:adjustRightInd w:val="0"/>
        <w:snapToGrid w:val="0"/>
        <w:spacing w:line="560" w:lineRule="exact"/>
        <w:ind w:firstLine="643" w:firstLineChars="200"/>
        <w:rPr>
          <w:rFonts w:eastAsia="仿宋_GB2312"/>
          <w:b/>
          <w:sz w:val="32"/>
          <w:szCs w:val="32"/>
        </w:rPr>
      </w:pPr>
      <w:r>
        <w:rPr>
          <w:rFonts w:eastAsia="仿宋_GB2312"/>
          <w:b/>
          <w:sz w:val="32"/>
          <w:szCs w:val="32"/>
        </w:rPr>
        <w:t>2.公务用车购置及运行维护费支出</w:t>
      </w:r>
      <w:r>
        <w:rPr>
          <w:rFonts w:eastAsia="仿宋_GB2312"/>
          <w:sz w:val="32"/>
          <w:szCs w:val="32"/>
        </w:rPr>
        <w:t>15.01万元,</w:t>
      </w:r>
      <w:r>
        <w:rPr>
          <w:rStyle w:val="15"/>
          <w:rFonts w:eastAsia="仿宋"/>
          <w:b w:val="0"/>
          <w:bCs/>
          <w:sz w:val="32"/>
          <w:szCs w:val="32"/>
        </w:rPr>
        <w:t>完成预算100%。</w:t>
      </w:r>
      <w:r>
        <w:rPr>
          <w:rFonts w:eastAsia="仿宋_GB2312"/>
          <w:sz w:val="32"/>
          <w:szCs w:val="32"/>
        </w:rPr>
        <w:t>公务用车购置及运行维护费支出决算比2021年减少41.72万元，下降73.54%。主要原因是2021年按规定更新购置公务用车1辆，金额49.01万元，主要用于防汛抗旱工作。</w:t>
      </w:r>
    </w:p>
    <w:p>
      <w:pPr>
        <w:adjustRightInd w:val="0"/>
        <w:snapToGrid w:val="0"/>
        <w:spacing w:line="56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0万元。全年按规定更新购置公务用车0辆，其中：轿车0辆、金额0万元，越野车0辆、金额0万元，载客汽车0辆、金额0万元0。截至2022年12月底，单位共有公务用车4辆，其中：轿车0辆、越野车4辆、载客汽车0辆。</w:t>
      </w:r>
    </w:p>
    <w:p>
      <w:pPr>
        <w:adjustRightInd w:val="0"/>
        <w:snapToGrid w:val="0"/>
        <w:spacing w:line="560" w:lineRule="exact"/>
        <w:ind w:firstLine="643" w:firstLineChars="200"/>
        <w:rPr>
          <w:rFonts w:eastAsia="仿宋_GB2312"/>
          <w:sz w:val="32"/>
          <w:szCs w:val="32"/>
        </w:rPr>
      </w:pPr>
      <w:r>
        <w:rPr>
          <w:rFonts w:eastAsia="仿宋_GB2312"/>
          <w:b/>
          <w:sz w:val="32"/>
          <w:szCs w:val="32"/>
        </w:rPr>
        <w:t>公务用车运行维护费支出</w:t>
      </w:r>
      <w:r>
        <w:rPr>
          <w:rFonts w:eastAsia="仿宋_GB2312"/>
          <w:sz w:val="32"/>
          <w:szCs w:val="32"/>
        </w:rPr>
        <w:t>15.01万元。主要用于防汛抗旱、农田水利建设、水土保持、河道管理及水利工程调研、检查、绩效考评等所需的公务用车燃料费、维修费、过路过桥费、保险费等支出。</w:t>
      </w:r>
    </w:p>
    <w:p>
      <w:pPr>
        <w:adjustRightInd w:val="0"/>
        <w:snapToGrid w:val="0"/>
        <w:spacing w:line="560" w:lineRule="exact"/>
        <w:ind w:firstLine="643" w:firstLineChars="200"/>
        <w:rPr>
          <w:rFonts w:eastAsia="仿宋_GB2312"/>
          <w:sz w:val="32"/>
          <w:szCs w:val="32"/>
        </w:rPr>
      </w:pPr>
      <w:r>
        <w:rPr>
          <w:rFonts w:eastAsia="仿宋_GB2312"/>
          <w:b/>
          <w:sz w:val="32"/>
          <w:szCs w:val="32"/>
        </w:rPr>
        <w:t>3.公务接待费支出</w:t>
      </w:r>
      <w:r>
        <w:rPr>
          <w:rFonts w:eastAsia="仿宋_GB2312"/>
          <w:sz w:val="32"/>
          <w:szCs w:val="32"/>
        </w:rPr>
        <w:t>2.19万元，</w:t>
      </w:r>
      <w:r>
        <w:rPr>
          <w:rStyle w:val="15"/>
          <w:rFonts w:eastAsia="仿宋"/>
          <w:b w:val="0"/>
          <w:bCs/>
          <w:sz w:val="32"/>
          <w:szCs w:val="32"/>
        </w:rPr>
        <w:t>完成预算100%。</w:t>
      </w:r>
      <w:r>
        <w:rPr>
          <w:rFonts w:eastAsia="仿宋_GB2312"/>
          <w:sz w:val="32"/>
          <w:szCs w:val="32"/>
        </w:rPr>
        <w:t>公务接待费支出决算比2021年减少0.59万元，下降21.22%。主要原因是牢固树立“过紧日子”思想，严控“三公”经费支出。其中：</w:t>
      </w:r>
    </w:p>
    <w:p>
      <w:pPr>
        <w:adjustRightInd w:val="0"/>
        <w:snapToGrid w:val="0"/>
        <w:spacing w:line="560" w:lineRule="exact"/>
        <w:ind w:firstLine="643" w:firstLineChars="200"/>
        <w:rPr>
          <w:rFonts w:eastAsia="仿宋_GB2312"/>
          <w:sz w:val="32"/>
          <w:szCs w:val="32"/>
        </w:rPr>
      </w:pPr>
      <w:r>
        <w:rPr>
          <w:rFonts w:eastAsia="仿宋"/>
          <w:b/>
          <w:sz w:val="32"/>
          <w:szCs w:val="32"/>
        </w:rPr>
        <w:t>国内公务接待支出</w:t>
      </w:r>
      <w:r>
        <w:rPr>
          <w:rFonts w:eastAsia="仿宋"/>
          <w:sz w:val="32"/>
          <w:szCs w:val="32"/>
        </w:rPr>
        <w:t>2.19</w:t>
      </w:r>
      <w:r>
        <w:rPr>
          <w:rFonts w:eastAsia="仿宋_GB2312"/>
          <w:sz w:val="32"/>
          <w:szCs w:val="32"/>
        </w:rPr>
        <w:t>万元，主要用于防汛抗旱、农田水利建设、水土保持、河道管理及水利工程调研、检查、绩效考评等执行公务、开展业务活动开支的交通费、住宿费、用餐费等)。国内公务接待19批次，108人次（不包括陪同人员），共计支出2.19万元，具体内容包括：</w:t>
      </w:r>
      <w:r>
        <w:rPr>
          <w:rFonts w:hint="eastAsia" w:eastAsia="仿宋_GB2312"/>
          <w:sz w:val="32"/>
          <w:szCs w:val="32"/>
        </w:rPr>
        <w:t>省农村水利中心开展2021年度村镇供水工程规范化管理达标评价市（州）交叉复核0.09万元；水利厅开展河长制湖长制专题调研0.04万元；全省大中型水库移民后期扶持政策实施监测评估工作督导0.08万元；水利厅开展抗旱及水资源配置调研0.12万元；省推进使用正版软件工作联系会议赴攀检查考核0.07</w:t>
      </w:r>
      <w:bookmarkStart w:id="67" w:name="_GoBack"/>
      <w:bookmarkEnd w:id="67"/>
      <w:r>
        <w:rPr>
          <w:rFonts w:hint="eastAsia" w:eastAsia="仿宋_GB2312"/>
          <w:sz w:val="32"/>
          <w:szCs w:val="32"/>
        </w:rPr>
        <w:t>万元；水利厅对部分生产建设项目开展水土保持现场检查和验收核查0.08万元；水利厅开展2021年全省水利工作综合督导0.09万元；水利厅开展质量提升专项行动检查调研督导0.13万元；水利厅开展全省重大水利工程建设情况调研0.15万元；四川水电行业“堵漏洞防事故保安全”专项督导0.16万元；省防汛抗旱指挥部督导检查攀枝花汛前防汛减灾准备工作0.13万元；水利厅开展自建房安全专项整治集中督导检查0.13万元；水利厅开展水权与水价改革推进情况调研0.17万元；省农村水利中心2022年度村镇供水工程规范化管理达标评价市（州）交叉复核0.1万元；眉山市水利局开展2022年度取用水监督管理交叉检查0.1万元；省级防汛减灾和地质灾害防治工作第三督导组开展督导检查0.14万元；水利部规计司调研安宁河流域灌溉发展规划0.11万元；四川省地矿局四零三地质队对接战略合作有关工作0.16万元；四川省防震减灾指挥部对攀防震减灾工作暗访督察0.14万元</w:t>
      </w:r>
      <w:r>
        <w:rPr>
          <w:rFonts w:eastAsia="仿宋_GB2312"/>
          <w:sz w:val="32"/>
          <w:szCs w:val="32"/>
        </w:rPr>
        <w:t>。</w:t>
      </w:r>
    </w:p>
    <w:p>
      <w:pPr>
        <w:adjustRightInd w:val="0"/>
        <w:snapToGrid w:val="0"/>
        <w:spacing w:line="560" w:lineRule="exact"/>
        <w:ind w:firstLine="643" w:firstLineChars="200"/>
        <w:rPr>
          <w:rFonts w:eastAsia="黑体"/>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万元，外事接待0批次，0人次（不包括陪同人员），共计支出0万元。</w:t>
      </w:r>
      <w:bookmarkStart w:id="40" w:name="_Toc15396610"/>
      <w:bookmarkStart w:id="41" w:name="_Toc15377218"/>
    </w:p>
    <w:p>
      <w:pPr>
        <w:adjustRightInd w:val="0"/>
        <w:snapToGrid w:val="0"/>
        <w:spacing w:line="560" w:lineRule="exact"/>
        <w:ind w:firstLine="640" w:firstLineChars="200"/>
        <w:outlineLvl w:val="1"/>
        <w:rPr>
          <w:rStyle w:val="26"/>
          <w:rFonts w:ascii="Times New Roman" w:hAnsi="Times New Roman" w:eastAsia="黑体" w:cs="Times New Roman"/>
        </w:rPr>
      </w:pPr>
      <w:r>
        <w:rPr>
          <w:rFonts w:eastAsia="黑体"/>
          <w:sz w:val="32"/>
          <w:szCs w:val="32"/>
        </w:rPr>
        <w:t>八、</w:t>
      </w:r>
      <w:r>
        <w:rPr>
          <w:rStyle w:val="26"/>
          <w:rFonts w:ascii="Times New Roman" w:hAnsi="Times New Roman" w:eastAsia="黑体" w:cs="Times New Roman"/>
          <w:b w:val="0"/>
        </w:rPr>
        <w:t>政府性基金预算支出决算情况说明</w:t>
      </w:r>
      <w:bookmarkEnd w:id="40"/>
      <w:bookmarkEnd w:id="41"/>
    </w:p>
    <w:p>
      <w:pPr>
        <w:adjustRightInd w:val="0"/>
        <w:snapToGrid w:val="0"/>
        <w:spacing w:line="560" w:lineRule="exact"/>
        <w:ind w:firstLine="640" w:firstLineChars="200"/>
        <w:rPr>
          <w:rFonts w:eastAsia="仿宋_GB2312"/>
          <w:sz w:val="32"/>
          <w:szCs w:val="32"/>
        </w:rPr>
      </w:pPr>
      <w:r>
        <w:rPr>
          <w:rFonts w:eastAsia="仿宋_GB2312"/>
          <w:sz w:val="32"/>
          <w:szCs w:val="32"/>
        </w:rPr>
        <w:t>2022年政府性基金预算财政拨款支出0.01万元。</w:t>
      </w:r>
    </w:p>
    <w:p>
      <w:pPr>
        <w:numPr>
          <w:ilvl w:val="0"/>
          <w:numId w:val="3"/>
        </w:numPr>
        <w:adjustRightInd w:val="0"/>
        <w:snapToGrid w:val="0"/>
        <w:spacing w:line="560" w:lineRule="exact"/>
        <w:ind w:firstLine="640" w:firstLineChars="200"/>
        <w:outlineLvl w:val="1"/>
        <w:rPr>
          <w:rStyle w:val="26"/>
          <w:rFonts w:ascii="Times New Roman" w:hAnsi="Times New Roman" w:eastAsia="黑体" w:cs="Times New Roman"/>
          <w:b w:val="0"/>
        </w:rPr>
      </w:pPr>
      <w:bookmarkStart w:id="42" w:name="_Toc15396611"/>
      <w:bookmarkStart w:id="43" w:name="_Toc15377219"/>
      <w:r>
        <w:rPr>
          <w:rStyle w:val="26"/>
          <w:rFonts w:ascii="Times New Roman" w:hAnsi="Times New Roman" w:eastAsia="黑体" w:cs="Times New Roman"/>
          <w:b w:val="0"/>
        </w:rPr>
        <w:t>国有资本经营预算支出决算情况说明</w:t>
      </w:r>
      <w:bookmarkEnd w:id="42"/>
      <w:bookmarkEnd w:id="43"/>
    </w:p>
    <w:p>
      <w:pPr>
        <w:adjustRightInd w:val="0"/>
        <w:snapToGrid w:val="0"/>
        <w:spacing w:line="560" w:lineRule="exact"/>
        <w:ind w:firstLine="640" w:firstLineChars="200"/>
        <w:rPr>
          <w:rFonts w:eastAsia="方正小标宋简体"/>
          <w:sz w:val="44"/>
          <w:szCs w:val="44"/>
        </w:rPr>
      </w:pPr>
      <w:r>
        <w:rPr>
          <w:rFonts w:eastAsia="仿宋_GB2312"/>
          <w:sz w:val="32"/>
          <w:szCs w:val="32"/>
        </w:rPr>
        <w:t>2022年国有资本经营预算财政拨款支出0万元。</w:t>
      </w:r>
    </w:p>
    <w:p>
      <w:pPr>
        <w:numPr>
          <w:ilvl w:val="0"/>
          <w:numId w:val="3"/>
        </w:numPr>
        <w:adjustRightInd w:val="0"/>
        <w:snapToGrid w:val="0"/>
        <w:spacing w:line="560" w:lineRule="exact"/>
        <w:ind w:firstLine="640" w:firstLineChars="200"/>
        <w:outlineLvl w:val="1"/>
        <w:rPr>
          <w:rStyle w:val="26"/>
          <w:rFonts w:ascii="Times New Roman" w:hAnsi="Times New Roman" w:eastAsia="黑体" w:cs="Times New Roman"/>
          <w:b w:val="0"/>
        </w:rPr>
      </w:pPr>
      <w:bookmarkStart w:id="44" w:name="_Toc15396612"/>
      <w:bookmarkStart w:id="45" w:name="_Toc15377221"/>
      <w:r>
        <w:rPr>
          <w:rStyle w:val="26"/>
          <w:rFonts w:ascii="Times New Roman" w:hAnsi="Times New Roman" w:eastAsia="黑体" w:cs="Times New Roman"/>
          <w:b w:val="0"/>
        </w:rPr>
        <w:t>其他重要事项的情况说明</w:t>
      </w:r>
      <w:bookmarkEnd w:id="44"/>
      <w:bookmarkEnd w:id="45"/>
    </w:p>
    <w:p>
      <w:pPr>
        <w:adjustRightInd w:val="0"/>
        <w:snapToGrid w:val="0"/>
        <w:spacing w:line="560" w:lineRule="exact"/>
        <w:ind w:firstLine="643" w:firstLineChars="200"/>
        <w:outlineLvl w:val="2"/>
        <w:rPr>
          <w:rFonts w:eastAsia="仿宋"/>
          <w:sz w:val="32"/>
          <w:szCs w:val="32"/>
        </w:rPr>
      </w:pPr>
      <w:bookmarkStart w:id="46" w:name="_Toc15377222"/>
      <w:r>
        <w:rPr>
          <w:rFonts w:eastAsia="仿宋"/>
          <w:b/>
          <w:sz w:val="32"/>
          <w:szCs w:val="32"/>
        </w:rPr>
        <w:t>（一）机关运行经费支出情况</w:t>
      </w:r>
      <w:bookmarkEnd w:id="46"/>
    </w:p>
    <w:p>
      <w:pPr>
        <w:adjustRightInd w:val="0"/>
        <w:snapToGrid w:val="0"/>
        <w:spacing w:line="560" w:lineRule="exact"/>
        <w:ind w:firstLine="640" w:firstLineChars="200"/>
        <w:rPr>
          <w:rFonts w:eastAsia="仿宋_GB2312"/>
          <w:sz w:val="32"/>
          <w:szCs w:val="32"/>
        </w:rPr>
      </w:pPr>
      <w:r>
        <w:rPr>
          <w:rFonts w:eastAsia="仿宋_GB2312"/>
          <w:sz w:val="32"/>
          <w:szCs w:val="32"/>
        </w:rPr>
        <w:t>2022年，攀枝花市水利局机关运行经费支出156.03万元，比2021年减少20.19万元，下降11.46%。主要原因是牢固树立“过紧日子”思想，严控“三公”经费支出</w:t>
      </w:r>
      <w:r>
        <w:rPr>
          <w:rFonts w:hint="eastAsia" w:eastAsia="仿宋_GB2312"/>
          <w:sz w:val="32"/>
          <w:szCs w:val="32"/>
        </w:rPr>
        <w:t>。</w:t>
      </w:r>
    </w:p>
    <w:p>
      <w:pPr>
        <w:autoSpaceDE w:val="0"/>
        <w:autoSpaceDN w:val="0"/>
        <w:adjustRightInd w:val="0"/>
        <w:snapToGrid w:val="0"/>
        <w:spacing w:line="560" w:lineRule="exact"/>
        <w:ind w:firstLine="643" w:firstLineChars="200"/>
        <w:jc w:val="left"/>
        <w:outlineLvl w:val="2"/>
        <w:rPr>
          <w:rFonts w:eastAsia="仿宋"/>
          <w:b/>
          <w:sz w:val="32"/>
          <w:szCs w:val="32"/>
        </w:rPr>
      </w:pPr>
      <w:bookmarkStart w:id="47" w:name="_Toc15377223"/>
      <w:r>
        <w:rPr>
          <w:rFonts w:eastAsia="仿宋"/>
          <w:b/>
          <w:sz w:val="32"/>
          <w:szCs w:val="32"/>
        </w:rPr>
        <w:t>（二）政府采购支出情况</w:t>
      </w:r>
      <w:bookmarkEnd w:id="47"/>
    </w:p>
    <w:p>
      <w:pPr>
        <w:adjustRightInd w:val="0"/>
        <w:snapToGrid w:val="0"/>
        <w:spacing w:line="560" w:lineRule="exact"/>
        <w:ind w:firstLine="640" w:firstLineChars="200"/>
        <w:rPr>
          <w:rFonts w:eastAsia="仿宋_GB2312"/>
          <w:sz w:val="32"/>
          <w:szCs w:val="32"/>
        </w:rPr>
      </w:pPr>
      <w:r>
        <w:rPr>
          <w:rFonts w:eastAsia="仿宋_GB2312"/>
          <w:sz w:val="32"/>
          <w:szCs w:val="32"/>
        </w:rPr>
        <w:t>2022年，攀枝花市水利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napToGrid w:val="0"/>
        <w:spacing w:line="560" w:lineRule="exact"/>
        <w:ind w:firstLine="643" w:firstLineChars="200"/>
        <w:jc w:val="left"/>
        <w:outlineLvl w:val="2"/>
        <w:rPr>
          <w:rFonts w:eastAsia="仿宋"/>
          <w:b/>
          <w:sz w:val="32"/>
          <w:szCs w:val="32"/>
        </w:rPr>
      </w:pPr>
      <w:bookmarkStart w:id="48" w:name="_Toc15377224"/>
      <w:r>
        <w:rPr>
          <w:rFonts w:eastAsia="仿宋"/>
          <w:b/>
          <w:sz w:val="32"/>
          <w:szCs w:val="32"/>
        </w:rPr>
        <w:t>（三）国有资产占有使用情况</w:t>
      </w:r>
      <w:bookmarkEnd w:id="48"/>
    </w:p>
    <w:p>
      <w:pPr>
        <w:autoSpaceDE w:val="0"/>
        <w:autoSpaceDN w:val="0"/>
        <w:adjustRightInd w:val="0"/>
        <w:snapToGrid w:val="0"/>
        <w:spacing w:line="560" w:lineRule="exact"/>
        <w:ind w:firstLine="640" w:firstLineChars="200"/>
        <w:jc w:val="left"/>
        <w:rPr>
          <w:rFonts w:eastAsia="仿宋_GB2312"/>
          <w:sz w:val="32"/>
          <w:szCs w:val="32"/>
        </w:rPr>
      </w:pPr>
      <w:r>
        <w:rPr>
          <w:rFonts w:eastAsia="仿宋_GB2312"/>
          <w:sz w:val="32"/>
          <w:szCs w:val="32"/>
        </w:rPr>
        <w:t>截至2022年12月31日，攀枝花市水利局共有车辆4辆，其中：特种专业技术用车2辆，其他用车2辆，主要是用于农田水利建设、水土保持、河道管理及水利工程项目调研、检查、绩效考评等工作需要。单价50万元以上通用设备0台（套），单价100万元以上专用设备0台（套）。</w:t>
      </w:r>
    </w:p>
    <w:p>
      <w:pPr>
        <w:autoSpaceDE w:val="0"/>
        <w:autoSpaceDN w:val="0"/>
        <w:adjustRightInd w:val="0"/>
        <w:snapToGrid w:val="0"/>
        <w:spacing w:line="560" w:lineRule="exact"/>
        <w:ind w:firstLine="643" w:firstLineChars="200"/>
        <w:jc w:val="left"/>
        <w:outlineLvl w:val="2"/>
        <w:rPr>
          <w:rFonts w:eastAsia="仿宋"/>
          <w:b/>
          <w:sz w:val="32"/>
          <w:szCs w:val="32"/>
        </w:rPr>
      </w:pPr>
      <w:r>
        <w:rPr>
          <w:rFonts w:eastAsia="仿宋"/>
          <w:b/>
          <w:sz w:val="32"/>
          <w:szCs w:val="32"/>
        </w:rPr>
        <w:t>（四）预算绩效管理情况</w:t>
      </w:r>
    </w:p>
    <w:p>
      <w:pPr>
        <w:pStyle w:val="2"/>
        <w:adjustRightInd w:val="0"/>
        <w:snapToGrid w:val="0"/>
        <w:spacing w:before="93" w:line="560" w:lineRule="exact"/>
        <w:ind w:firstLine="640" w:firstLineChars="200"/>
        <w:rPr>
          <w:rFonts w:ascii="Times New Roman"/>
          <w:highlight w:val="yellow"/>
        </w:rPr>
      </w:pPr>
      <w:r>
        <w:rPr>
          <w:rFonts w:ascii="Times New Roman"/>
          <w:sz w:val="32"/>
          <w:szCs w:val="32"/>
        </w:rPr>
        <w:t>根据预算绩效管理要求，本单位在2022年度预算编制阶段，组织对</w:t>
      </w:r>
      <w:r>
        <w:rPr>
          <w:rFonts w:hint="eastAsia" w:ascii="Times New Roman"/>
          <w:sz w:val="32"/>
          <w:szCs w:val="32"/>
        </w:rPr>
        <w:t>带薪年休假经费、基本养老保险、工资性支出、基本公用支出、水利行业管理、最严格水资源管理制度考核、河湖长制省级目标考核项目经费、防汛抗旱省级目标考核经费</w:t>
      </w:r>
      <w:r>
        <w:rPr>
          <w:rFonts w:ascii="Times New Roman"/>
          <w:sz w:val="32"/>
          <w:szCs w:val="32"/>
        </w:rPr>
        <w:t>项目等</w:t>
      </w:r>
      <w:r>
        <w:rPr>
          <w:rFonts w:hint="eastAsia" w:ascii="Times New Roman"/>
          <w:sz w:val="32"/>
          <w:szCs w:val="32"/>
        </w:rPr>
        <w:t>54</w:t>
      </w:r>
      <w:r>
        <w:rPr>
          <w:rFonts w:ascii="Times New Roman"/>
          <w:sz w:val="32"/>
          <w:szCs w:val="32"/>
        </w:rPr>
        <w:t>个项目开展了预算事前绩效评估，对</w:t>
      </w:r>
      <w:r>
        <w:rPr>
          <w:rFonts w:hint="eastAsia" w:ascii="Times New Roman"/>
          <w:sz w:val="32"/>
          <w:szCs w:val="32"/>
        </w:rPr>
        <w:t>54</w:t>
      </w:r>
      <w:r>
        <w:rPr>
          <w:rFonts w:ascii="Times New Roman"/>
          <w:sz w:val="32"/>
          <w:szCs w:val="32"/>
        </w:rPr>
        <w:t>个项目编制了绩效目标，预算执行过程中，选取</w:t>
      </w:r>
      <w:r>
        <w:rPr>
          <w:rFonts w:hint="eastAsia" w:ascii="Times New Roman"/>
          <w:sz w:val="32"/>
          <w:szCs w:val="32"/>
        </w:rPr>
        <w:t>54</w:t>
      </w:r>
      <w:r>
        <w:rPr>
          <w:rFonts w:ascii="Times New Roman"/>
          <w:sz w:val="32"/>
          <w:szCs w:val="32"/>
        </w:rPr>
        <w:t>个项目开展绩效监控，组织对</w:t>
      </w:r>
      <w:r>
        <w:rPr>
          <w:rFonts w:hint="eastAsia" w:ascii="Times New Roman"/>
          <w:sz w:val="32"/>
          <w:szCs w:val="32"/>
        </w:rPr>
        <w:t>54</w:t>
      </w:r>
      <w:r>
        <w:rPr>
          <w:rFonts w:ascii="Times New Roman"/>
          <w:sz w:val="32"/>
          <w:szCs w:val="32"/>
        </w:rPr>
        <w:t>个项目开展绩效自评，绩效自评表详见第四部分附件。</w:t>
      </w:r>
    </w:p>
    <w:p>
      <w:pPr>
        <w:widowControl/>
        <w:adjustRightInd w:val="0"/>
        <w:snapToGrid w:val="0"/>
        <w:spacing w:line="560" w:lineRule="exact"/>
        <w:ind w:firstLine="643" w:firstLineChars="200"/>
        <w:jc w:val="left"/>
      </w:pPr>
      <w:r>
        <w:rPr>
          <w:rFonts w:eastAsia="仿宋_GB2312"/>
          <w:b/>
          <w:sz w:val="32"/>
          <w:szCs w:val="32"/>
        </w:rPr>
        <w:br w:type="page"/>
      </w:r>
    </w:p>
    <w:p>
      <w:pPr>
        <w:numPr>
          <w:ilvl w:val="0"/>
          <w:numId w:val="0"/>
        </w:numPr>
        <w:adjustRightInd w:val="0"/>
        <w:snapToGrid w:val="0"/>
        <w:spacing w:line="560" w:lineRule="exact"/>
        <w:jc w:val="center"/>
        <w:outlineLvl w:val="0"/>
      </w:pPr>
      <w:bookmarkStart w:id="49" w:name="_Toc15377225"/>
      <w:bookmarkStart w:id="50" w:name="_Toc15396613"/>
      <w:r>
        <w:rPr>
          <w:rFonts w:hint="eastAsia" w:eastAsia="黑体"/>
          <w:sz w:val="44"/>
          <w:szCs w:val="44"/>
          <w:lang w:eastAsia="zh-CN"/>
        </w:rPr>
        <w:t>第三部分</w:t>
      </w:r>
      <w:r>
        <w:rPr>
          <w:rFonts w:hint="eastAsia" w:eastAsia="黑体"/>
          <w:sz w:val="44"/>
          <w:szCs w:val="44"/>
          <w:lang w:val="en-US" w:eastAsia="zh-CN"/>
        </w:rPr>
        <w:t xml:space="preserve"> </w:t>
      </w:r>
      <w:r>
        <w:rPr>
          <w:rFonts w:eastAsia="黑体"/>
          <w:sz w:val="44"/>
          <w:szCs w:val="44"/>
        </w:rPr>
        <w:t>名</w:t>
      </w:r>
      <w:r>
        <w:rPr>
          <w:rStyle w:val="25"/>
          <w:rFonts w:eastAsia="黑体"/>
          <w:b w:val="0"/>
        </w:rPr>
        <w:t>词解释</w:t>
      </w:r>
      <w:bookmarkEnd w:id="49"/>
      <w:bookmarkEnd w:id="50"/>
    </w:p>
    <w:p>
      <w:pPr>
        <w:pStyle w:val="2"/>
        <w:spacing w:before="93"/>
      </w:pPr>
    </w:p>
    <w:p>
      <w:pPr>
        <w:spacing w:line="560" w:lineRule="exact"/>
        <w:ind w:firstLine="640" w:firstLineChars="200"/>
        <w:rPr>
          <w:rFonts w:eastAsia="仿宋_GB2312"/>
          <w:sz w:val="32"/>
          <w:szCs w:val="32"/>
        </w:rPr>
      </w:pPr>
      <w:r>
        <w:rPr>
          <w:rFonts w:eastAsia="仿宋_GB2312"/>
          <w:sz w:val="32"/>
          <w:szCs w:val="32"/>
        </w:rPr>
        <w:t>1.财政拨款收入：指单位从同级财政部门取得的财政预算资金。</w:t>
      </w:r>
    </w:p>
    <w:p>
      <w:pPr>
        <w:spacing w:line="560" w:lineRule="exact"/>
        <w:ind w:firstLine="640" w:firstLineChars="200"/>
        <w:rPr>
          <w:rFonts w:eastAsia="仿宋_GB2312"/>
          <w:sz w:val="32"/>
          <w:szCs w:val="32"/>
        </w:rPr>
      </w:pPr>
      <w:r>
        <w:rPr>
          <w:rFonts w:eastAsia="仿宋_GB2312"/>
          <w:sz w:val="32"/>
          <w:szCs w:val="32"/>
        </w:rPr>
        <w:t>2.事业收入：指事业单位开展专业业务活动及辅助活动取得的收入。</w:t>
      </w:r>
    </w:p>
    <w:p>
      <w:pPr>
        <w:spacing w:line="560" w:lineRule="exact"/>
        <w:ind w:firstLine="640" w:firstLineChars="200"/>
        <w:rPr>
          <w:rFonts w:eastAsia="仿宋_GB2312"/>
          <w:sz w:val="32"/>
          <w:szCs w:val="32"/>
        </w:rPr>
      </w:pPr>
      <w:r>
        <w:rPr>
          <w:rFonts w:eastAsia="仿宋_GB2312"/>
          <w:sz w:val="32"/>
          <w:szCs w:val="32"/>
        </w:rPr>
        <w:t>3.经营收入：指事业单位在专业业务活动及其辅助活动之外开展非独立核算经营活动取得的收入。</w:t>
      </w:r>
    </w:p>
    <w:p>
      <w:pPr>
        <w:spacing w:line="560" w:lineRule="exact"/>
        <w:ind w:firstLine="640" w:firstLineChars="200"/>
        <w:rPr>
          <w:rFonts w:eastAsia="仿宋_GB2312"/>
          <w:sz w:val="32"/>
          <w:szCs w:val="32"/>
        </w:rPr>
      </w:pPr>
      <w:r>
        <w:rPr>
          <w:rFonts w:eastAsia="仿宋_GB2312"/>
          <w:sz w:val="32"/>
          <w:szCs w:val="32"/>
        </w:rPr>
        <w:t>4.其他收入：指单位取得的除上述收入以外的各项收入。 </w:t>
      </w:r>
    </w:p>
    <w:p>
      <w:pPr>
        <w:spacing w:line="560" w:lineRule="exact"/>
        <w:ind w:firstLine="640" w:firstLineChars="200"/>
        <w:rPr>
          <w:rFonts w:eastAsia="仿宋_GB2312"/>
          <w:sz w:val="32"/>
          <w:szCs w:val="32"/>
        </w:rPr>
      </w:pPr>
      <w:r>
        <w:rPr>
          <w:rFonts w:eastAsia="仿宋_GB2312"/>
          <w:sz w:val="32"/>
          <w:szCs w:val="32"/>
        </w:rPr>
        <w:t>5.使用非财政拨款结余：指事业单位使用以前年度积累的非财政拨款结余弥补当年收支差额的金额。 </w:t>
      </w:r>
    </w:p>
    <w:p>
      <w:pPr>
        <w:spacing w:line="560" w:lineRule="exact"/>
        <w:ind w:firstLine="640" w:firstLineChars="200"/>
        <w:rPr>
          <w:rFonts w:eastAsia="仿宋_GB2312"/>
          <w:sz w:val="32"/>
          <w:szCs w:val="32"/>
        </w:rPr>
      </w:pPr>
      <w:r>
        <w:rPr>
          <w:rFonts w:eastAsia="仿宋_GB2312"/>
          <w:sz w:val="32"/>
          <w:szCs w:val="32"/>
        </w:rPr>
        <w:t>6.年初结转和结余：指以前年度尚未完成、结转到本年按有关规定继续使用的资金。 </w:t>
      </w:r>
    </w:p>
    <w:p>
      <w:pPr>
        <w:spacing w:line="560" w:lineRule="exact"/>
        <w:ind w:firstLine="640" w:firstLineChars="200"/>
        <w:rPr>
          <w:rFonts w:eastAsia="仿宋_GB2312"/>
          <w:sz w:val="32"/>
          <w:szCs w:val="32"/>
        </w:rPr>
      </w:pPr>
      <w:r>
        <w:rPr>
          <w:rFonts w:eastAsia="仿宋_GB2312"/>
          <w:sz w:val="32"/>
          <w:szCs w:val="32"/>
        </w:rPr>
        <w:t>7.结余分配：指事业单位按照会计制度规定缴纳的所得税、提取的专用结余以及转入非财政拨款结余的金额等。</w:t>
      </w:r>
    </w:p>
    <w:p>
      <w:pPr>
        <w:spacing w:line="560" w:lineRule="exact"/>
        <w:ind w:firstLine="640" w:firstLineChars="200"/>
        <w:rPr>
          <w:rFonts w:eastAsia="仿宋_GB2312"/>
          <w:sz w:val="32"/>
          <w:szCs w:val="32"/>
        </w:rPr>
      </w:pPr>
      <w:r>
        <w:rPr>
          <w:rFonts w:eastAsia="仿宋_GB2312"/>
          <w:sz w:val="32"/>
          <w:szCs w:val="32"/>
        </w:rPr>
        <w:t>8、年末结转和结余：指单位按有关规定结转到下年或以后年度继续使用的资金。</w:t>
      </w:r>
    </w:p>
    <w:p>
      <w:pPr>
        <w:spacing w:line="560" w:lineRule="exact"/>
        <w:ind w:firstLine="640" w:firstLineChars="200"/>
        <w:rPr>
          <w:rFonts w:eastAsia="仿宋_GB2312"/>
          <w:sz w:val="32"/>
          <w:szCs w:val="32"/>
        </w:rPr>
      </w:pPr>
      <w:r>
        <w:rPr>
          <w:rFonts w:eastAsia="仿宋_GB2312"/>
          <w:sz w:val="32"/>
          <w:szCs w:val="32"/>
        </w:rPr>
        <w:t>9一般公共服务（类）商贸事务（款）招商引资（项）：反映用于招商引资、优化经济环境等方面的支出。</w:t>
      </w:r>
    </w:p>
    <w:p>
      <w:pPr>
        <w:spacing w:line="560" w:lineRule="exact"/>
        <w:ind w:firstLine="640" w:firstLineChars="200"/>
        <w:rPr>
          <w:rFonts w:eastAsia="仿宋_GB2312"/>
          <w:sz w:val="32"/>
          <w:szCs w:val="32"/>
        </w:rPr>
      </w:pPr>
      <w:r>
        <w:rPr>
          <w:rFonts w:eastAsia="仿宋_GB2312"/>
          <w:sz w:val="32"/>
          <w:szCs w:val="32"/>
        </w:rPr>
        <w:t>10.一般公共服务（类）组织事务（款）其他组织事务支出（项）：指其他用于中国共产党组织部门的事务支出。</w:t>
      </w:r>
    </w:p>
    <w:p>
      <w:pPr>
        <w:spacing w:line="560" w:lineRule="exact"/>
        <w:ind w:firstLine="640" w:firstLineChars="200"/>
        <w:rPr>
          <w:rFonts w:eastAsia="仿宋_GB2312"/>
          <w:sz w:val="32"/>
          <w:szCs w:val="32"/>
        </w:rPr>
      </w:pPr>
      <w:r>
        <w:rPr>
          <w:rFonts w:eastAsia="仿宋_GB2312"/>
          <w:sz w:val="32"/>
          <w:szCs w:val="32"/>
        </w:rPr>
        <w:t>11.社会保障和就业支出（类）行政事业单位养老支出（款）行政单位离退休（项）：反映行政单位（包括实行公务员管理的事业单位）开支的离退休支出。</w:t>
      </w:r>
    </w:p>
    <w:p>
      <w:pPr>
        <w:spacing w:line="560" w:lineRule="exact"/>
        <w:ind w:firstLine="640" w:firstLineChars="200"/>
        <w:rPr>
          <w:rFonts w:eastAsia="仿宋_GB2312"/>
          <w:sz w:val="32"/>
          <w:szCs w:val="32"/>
        </w:rPr>
      </w:pPr>
      <w:r>
        <w:rPr>
          <w:rFonts w:eastAsia="仿宋_GB2312"/>
          <w:sz w:val="32"/>
          <w:szCs w:val="32"/>
        </w:rPr>
        <w:t>12.社会保障和就业支出（类）行政事业单位养老支出（款）机关事业单位基本养老保险缴费支出（项）：指机关事业单位实施养老保险制度由单位缴纳的基本养老保险费支出。</w:t>
      </w:r>
    </w:p>
    <w:p>
      <w:pPr>
        <w:spacing w:line="560" w:lineRule="exact"/>
        <w:ind w:firstLine="640" w:firstLineChars="200"/>
        <w:rPr>
          <w:rFonts w:eastAsia="仿宋_GB2312"/>
          <w:sz w:val="32"/>
          <w:szCs w:val="32"/>
        </w:rPr>
      </w:pPr>
      <w:r>
        <w:rPr>
          <w:rFonts w:eastAsia="仿宋_GB2312"/>
          <w:sz w:val="32"/>
          <w:szCs w:val="32"/>
        </w:rPr>
        <w:t>13.社会保障和就业（类）抚恤（款）死亡抚恤（项）：反映按规定用于烈士和牺牲、病故人员家属的一次性和定期抚恤以及丧葬补助费。</w:t>
      </w:r>
    </w:p>
    <w:p>
      <w:pPr>
        <w:spacing w:line="560" w:lineRule="exact"/>
        <w:ind w:firstLine="640" w:firstLineChars="200"/>
        <w:rPr>
          <w:rFonts w:eastAsia="仿宋_GB2312"/>
          <w:sz w:val="32"/>
          <w:szCs w:val="32"/>
        </w:rPr>
      </w:pPr>
      <w:r>
        <w:rPr>
          <w:rFonts w:eastAsia="仿宋_GB2312"/>
          <w:sz w:val="32"/>
          <w:szCs w:val="32"/>
        </w:rPr>
        <w:t>14.社会保障和就业（类）其他社会保障和就业支出（款）儿童福利（项）：指对儿童提供福利服务方面的支出。</w:t>
      </w:r>
    </w:p>
    <w:p>
      <w:pPr>
        <w:spacing w:line="560" w:lineRule="exact"/>
        <w:ind w:firstLine="640" w:firstLineChars="200"/>
        <w:rPr>
          <w:rFonts w:eastAsia="仿宋_GB2312"/>
          <w:sz w:val="32"/>
          <w:szCs w:val="32"/>
        </w:rPr>
      </w:pPr>
      <w:r>
        <w:rPr>
          <w:rFonts w:eastAsia="仿宋_GB2312"/>
          <w:sz w:val="32"/>
          <w:szCs w:val="32"/>
        </w:rPr>
        <w:t>15.农林水支出（类）水利（款）行政运行（项）：指行政单位（包括实行公务员管理的事业单位）的基本支出。</w:t>
      </w:r>
    </w:p>
    <w:p>
      <w:pPr>
        <w:spacing w:line="560" w:lineRule="exact"/>
        <w:ind w:firstLine="640" w:firstLineChars="200"/>
        <w:rPr>
          <w:rFonts w:eastAsia="仿宋_GB2312"/>
          <w:sz w:val="32"/>
          <w:szCs w:val="32"/>
        </w:rPr>
      </w:pPr>
      <w:r>
        <w:rPr>
          <w:rFonts w:eastAsia="仿宋_GB2312"/>
          <w:sz w:val="32"/>
          <w:szCs w:val="32"/>
        </w:rPr>
        <w:t>16.农林水支出（类）农业农村（款）行政运行（项）：指行政单位（包括实行公务员管理的事业单位）的基本支出。</w:t>
      </w:r>
    </w:p>
    <w:p>
      <w:pPr>
        <w:spacing w:line="560" w:lineRule="exact"/>
        <w:ind w:firstLine="640" w:firstLineChars="200"/>
        <w:rPr>
          <w:rFonts w:eastAsia="仿宋_GB2312"/>
          <w:sz w:val="32"/>
          <w:szCs w:val="32"/>
        </w:rPr>
      </w:pPr>
      <w:r>
        <w:rPr>
          <w:rFonts w:eastAsia="仿宋_GB2312"/>
          <w:sz w:val="32"/>
          <w:szCs w:val="32"/>
        </w:rPr>
        <w:t>17.农林水支出（类）水利（款）水土保持（项）：指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spacing w:line="560" w:lineRule="exact"/>
        <w:ind w:firstLine="640" w:firstLineChars="200"/>
        <w:rPr>
          <w:rFonts w:eastAsia="仿宋_GB2312"/>
          <w:sz w:val="32"/>
          <w:szCs w:val="32"/>
        </w:rPr>
      </w:pPr>
      <w:r>
        <w:rPr>
          <w:rFonts w:eastAsia="仿宋_GB2312"/>
          <w:sz w:val="32"/>
          <w:szCs w:val="32"/>
        </w:rPr>
        <w:t>18.农林水支出（类）水利（款）水资源节约管理与保护（项）：反映水资源节约、监管、配置、调度、保护和基础管理工作 的支出。</w:t>
      </w:r>
    </w:p>
    <w:p>
      <w:pPr>
        <w:spacing w:line="560" w:lineRule="exact"/>
        <w:ind w:firstLine="640" w:firstLineChars="200"/>
        <w:rPr>
          <w:rFonts w:eastAsia="仿宋_GB2312"/>
          <w:sz w:val="32"/>
          <w:szCs w:val="32"/>
        </w:rPr>
      </w:pPr>
      <w:r>
        <w:rPr>
          <w:rFonts w:eastAsia="仿宋_GB2312"/>
          <w:sz w:val="32"/>
          <w:szCs w:val="32"/>
        </w:rPr>
        <w:t>19.农林水支出（类）水利（款）防汛（项）：反映防汛业务支出。有关事项包括防汛物资购臵管护，防汛通信设施设备、网络系统、车船设备运行维护，防汛值班、水情报汛、 防汛指挥系统运行维护、水毁修复以及防汛组织（如防汛预 案编制、检查、演习、宣传、会议等），汛期调用民工及劳动保护，水利设施灾后重建，退田还湖，蓄滞洪区补偿，水情、雨情、决策支持，防汛视频会商，山洪灾害防治等。</w:t>
      </w:r>
    </w:p>
    <w:p>
      <w:pPr>
        <w:spacing w:line="560" w:lineRule="exact"/>
        <w:ind w:firstLine="640" w:firstLineChars="200"/>
        <w:rPr>
          <w:rFonts w:eastAsia="仿宋_GB2312"/>
          <w:sz w:val="32"/>
          <w:szCs w:val="32"/>
        </w:rPr>
      </w:pPr>
      <w:r>
        <w:rPr>
          <w:rFonts w:eastAsia="仿宋_GB2312"/>
          <w:sz w:val="32"/>
          <w:szCs w:val="32"/>
        </w:rPr>
        <w:t>20.农林水支出（类）水利（款）其他水利支出（项）：指反映其他用于水利方面的支出。</w:t>
      </w:r>
    </w:p>
    <w:p>
      <w:pPr>
        <w:spacing w:line="560" w:lineRule="exact"/>
        <w:ind w:firstLine="640" w:firstLineChars="200"/>
        <w:rPr>
          <w:rFonts w:eastAsia="仿宋_GB2312"/>
          <w:sz w:val="32"/>
          <w:szCs w:val="32"/>
        </w:rPr>
      </w:pPr>
      <w:r>
        <w:rPr>
          <w:rFonts w:eastAsia="仿宋_GB2312"/>
          <w:sz w:val="32"/>
          <w:szCs w:val="32"/>
        </w:rPr>
        <w:t>21.住房保障支出（类）住房改革支出（款）住房公积金（项）：指反映行政事业单位按人事、财政部门规定的基本工资和津贴补贴以及规定比例为职工缴纳的住房公积金。</w:t>
      </w:r>
    </w:p>
    <w:p>
      <w:pPr>
        <w:spacing w:line="560" w:lineRule="exact"/>
        <w:ind w:firstLine="640" w:firstLineChars="200"/>
        <w:rPr>
          <w:rFonts w:eastAsia="仿宋_GB2312"/>
          <w:sz w:val="32"/>
          <w:szCs w:val="32"/>
        </w:rPr>
      </w:pPr>
      <w:r>
        <w:rPr>
          <w:rFonts w:eastAsia="仿宋_GB2312"/>
          <w:sz w:val="32"/>
          <w:szCs w:val="32"/>
        </w:rPr>
        <w:t>22.基本支出：指为保障机构正常运转、完成日常工作任务而发生的人员支出和公用支出。</w:t>
      </w:r>
    </w:p>
    <w:p>
      <w:pPr>
        <w:spacing w:line="560" w:lineRule="exact"/>
        <w:ind w:firstLine="640" w:firstLineChars="200"/>
        <w:rPr>
          <w:rFonts w:eastAsia="仿宋_GB2312"/>
          <w:sz w:val="32"/>
          <w:szCs w:val="32"/>
        </w:rPr>
      </w:pPr>
      <w:r>
        <w:rPr>
          <w:rFonts w:eastAsia="仿宋_GB2312"/>
          <w:sz w:val="32"/>
          <w:szCs w:val="32"/>
        </w:rPr>
        <w:t>23.项目支出：指在基本支出之外为完成特定行政任务和事业发展目标所发生的支出。 </w:t>
      </w:r>
    </w:p>
    <w:p>
      <w:pPr>
        <w:spacing w:line="560" w:lineRule="exact"/>
        <w:ind w:firstLine="640" w:firstLineChars="200"/>
        <w:rPr>
          <w:rFonts w:eastAsia="仿宋_GB2312"/>
          <w:sz w:val="32"/>
          <w:szCs w:val="32"/>
        </w:rPr>
      </w:pPr>
      <w:r>
        <w:rPr>
          <w:rFonts w:eastAsia="仿宋_GB2312"/>
          <w:sz w:val="32"/>
          <w:szCs w:val="32"/>
        </w:rPr>
        <w:t>24.经营支出：指事业单位在专业业务活动及其辅助活动之外开展非独立核算经营活动发生的支出。</w:t>
      </w:r>
    </w:p>
    <w:p>
      <w:pPr>
        <w:spacing w:line="560" w:lineRule="exact"/>
        <w:ind w:firstLine="640" w:firstLineChars="200"/>
        <w:rPr>
          <w:rFonts w:eastAsia="仿宋_GB2312"/>
          <w:sz w:val="32"/>
          <w:szCs w:val="32"/>
        </w:rPr>
      </w:pPr>
      <w:r>
        <w:rPr>
          <w:rFonts w:eastAsia="仿宋_GB2312"/>
          <w:sz w:val="32"/>
          <w:szCs w:val="32"/>
        </w:rPr>
        <w:t>25.“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eastAsia="仿宋_GB2312"/>
          <w:sz w:val="32"/>
          <w:szCs w:val="32"/>
        </w:rPr>
      </w:pPr>
      <w:r>
        <w:rPr>
          <w:rFonts w:eastAsia="仿宋_GB2312"/>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60" w:lineRule="exact"/>
        <w:ind w:firstLine="883" w:firstLineChars="200"/>
        <w:jc w:val="center"/>
        <w:outlineLvl w:val="0"/>
        <w:rPr>
          <w:rStyle w:val="25"/>
          <w:rFonts w:eastAsia="黑体"/>
          <w:b w:val="0"/>
        </w:rPr>
      </w:pPr>
      <w:bookmarkStart w:id="51" w:name="_Toc15377226"/>
      <w:r>
        <w:rPr>
          <w:b/>
          <w:sz w:val="44"/>
          <w:szCs w:val="44"/>
        </w:rPr>
        <w:br w:type="page"/>
      </w:r>
      <w:bookmarkStart w:id="52" w:name="_Toc15396614"/>
      <w:r>
        <w:rPr>
          <w:rFonts w:eastAsia="黑体"/>
          <w:sz w:val="44"/>
          <w:szCs w:val="44"/>
        </w:rPr>
        <w:t>第</w:t>
      </w:r>
      <w:r>
        <w:rPr>
          <w:rStyle w:val="25"/>
          <w:rFonts w:eastAsia="黑体"/>
          <w:b w:val="0"/>
        </w:rPr>
        <w:t>四部分 附件</w:t>
      </w:r>
      <w:bookmarkEnd w:id="52"/>
    </w:p>
    <w:p>
      <w:pPr>
        <w:adjustRightInd w:val="0"/>
        <w:snapToGrid w:val="0"/>
        <w:spacing w:line="560" w:lineRule="exact"/>
        <w:ind w:firstLine="640" w:firstLineChars="200"/>
        <w:jc w:val="left"/>
        <w:outlineLvl w:val="0"/>
        <w:rPr>
          <w:rFonts w:eastAsia="仿宋_GB2312"/>
          <w:sz w:val="32"/>
          <w:szCs w:val="32"/>
        </w:rPr>
      </w:pPr>
    </w:p>
    <w:p>
      <w:pPr>
        <w:spacing w:line="560" w:lineRule="exact"/>
        <w:ind w:firstLine="640" w:firstLineChars="200"/>
        <w:rPr>
          <w:rFonts w:eastAsia="仿宋_GB2312"/>
          <w:sz w:val="32"/>
          <w:szCs w:val="32"/>
        </w:rPr>
      </w:pPr>
      <w:bookmarkStart w:id="53" w:name="_Toc15396618"/>
      <w:r>
        <w:rPr>
          <w:rFonts w:eastAsia="仿宋_GB2312"/>
          <w:sz w:val="32"/>
          <w:szCs w:val="32"/>
        </w:rPr>
        <w:t>部门预算项目支出绩效自评表（2022年度）见附件</w:t>
      </w:r>
      <w:r>
        <w:rPr>
          <w:rFonts w:hint="eastAsia" w:eastAsia="仿宋_GB2312"/>
          <w:sz w:val="32"/>
          <w:szCs w:val="32"/>
        </w:rPr>
        <w:t>2</w:t>
      </w:r>
    </w:p>
    <w:p>
      <w:pPr>
        <w:adjustRightInd w:val="0"/>
        <w:snapToGrid w:val="0"/>
        <w:spacing w:line="560" w:lineRule="exact"/>
        <w:ind w:firstLine="640" w:firstLineChars="200"/>
        <w:jc w:val="left"/>
        <w:outlineLvl w:val="0"/>
        <w:rPr>
          <w:rFonts w:eastAsia="仿宋_GB2312"/>
          <w:kern w:val="0"/>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pStyle w:val="2"/>
        <w:adjustRightInd w:val="0"/>
        <w:snapToGrid w:val="0"/>
        <w:spacing w:before="93" w:line="560" w:lineRule="exact"/>
        <w:rPr>
          <w:rFonts w:ascii="Times New Roman"/>
          <w:sz w:val="32"/>
          <w:szCs w:val="32"/>
        </w:rPr>
      </w:pPr>
    </w:p>
    <w:p>
      <w:pPr>
        <w:pStyle w:val="2"/>
        <w:adjustRightInd w:val="0"/>
        <w:snapToGrid w:val="0"/>
        <w:spacing w:before="93" w:line="560" w:lineRule="exact"/>
        <w:ind w:firstLine="640" w:firstLineChars="200"/>
        <w:rPr>
          <w:rFonts w:ascii="Times New Roman"/>
          <w:sz w:val="32"/>
          <w:szCs w:val="32"/>
        </w:rPr>
      </w:pPr>
    </w:p>
    <w:p>
      <w:pPr>
        <w:adjustRightInd w:val="0"/>
        <w:snapToGrid w:val="0"/>
        <w:spacing w:line="560" w:lineRule="exact"/>
        <w:ind w:firstLine="880" w:firstLineChars="200"/>
        <w:jc w:val="center"/>
        <w:outlineLvl w:val="0"/>
        <w:rPr>
          <w:rFonts w:eastAsia="仿宋"/>
        </w:rPr>
      </w:pPr>
      <w:r>
        <w:rPr>
          <w:rFonts w:eastAsia="黑体"/>
          <w:sz w:val="44"/>
          <w:szCs w:val="44"/>
        </w:rPr>
        <w:t>第</w:t>
      </w:r>
      <w:r>
        <w:rPr>
          <w:rStyle w:val="25"/>
          <w:rFonts w:eastAsia="黑体"/>
          <w:b w:val="0"/>
        </w:rPr>
        <w:t>五部分 附表</w:t>
      </w:r>
      <w:bookmarkEnd w:id="51"/>
      <w:bookmarkEnd w:id="53"/>
      <w:bookmarkStart w:id="54" w:name="_Toc15396619"/>
    </w:p>
    <w:p>
      <w:pPr>
        <w:pStyle w:val="4"/>
        <w:adjustRightInd w:val="0"/>
        <w:snapToGrid w:val="0"/>
        <w:spacing w:line="560" w:lineRule="exact"/>
        <w:ind w:firstLine="640" w:firstLineChars="200"/>
        <w:rPr>
          <w:rFonts w:ascii="Times New Roman" w:hAnsi="Times New Roman" w:eastAsia="仿宋" w:cs="Times New Roman"/>
        </w:rPr>
      </w:pPr>
      <w:r>
        <w:rPr>
          <w:rFonts w:ascii="Times New Roman" w:hAnsi="Times New Roman" w:eastAsia="仿宋" w:cs="Times New Roman"/>
          <w:b w:val="0"/>
        </w:rPr>
        <w:t>一、收</w:t>
      </w:r>
      <w:r>
        <w:rPr>
          <w:rStyle w:val="26"/>
          <w:rFonts w:ascii="Times New Roman" w:hAnsi="Times New Roman" w:eastAsia="仿宋" w:cs="Times New Roman"/>
          <w:b w:val="0"/>
          <w:bCs w:val="0"/>
        </w:rPr>
        <w:t>入支出决算总表</w:t>
      </w:r>
      <w:bookmarkEnd w:id="54"/>
    </w:p>
    <w:p>
      <w:pPr>
        <w:pStyle w:val="4"/>
        <w:adjustRightInd w:val="0"/>
        <w:snapToGrid w:val="0"/>
        <w:spacing w:line="560" w:lineRule="exact"/>
        <w:ind w:firstLine="640" w:firstLineChars="200"/>
        <w:rPr>
          <w:rFonts w:ascii="Times New Roman" w:hAnsi="Times New Roman" w:eastAsia="仿宋" w:cs="Times New Roman"/>
        </w:rPr>
      </w:pPr>
      <w:bookmarkStart w:id="55" w:name="_Toc15396620"/>
      <w:r>
        <w:rPr>
          <w:rFonts w:ascii="Times New Roman" w:hAnsi="Times New Roman" w:eastAsia="仿宋" w:cs="Times New Roman"/>
          <w:b w:val="0"/>
        </w:rPr>
        <w:t>二、收</w:t>
      </w:r>
      <w:r>
        <w:rPr>
          <w:rStyle w:val="26"/>
          <w:rFonts w:ascii="Times New Roman" w:hAnsi="Times New Roman" w:eastAsia="仿宋" w:cs="Times New Roman"/>
          <w:b w:val="0"/>
          <w:bCs w:val="0"/>
        </w:rPr>
        <w:t>入决算表</w:t>
      </w:r>
      <w:bookmarkEnd w:id="55"/>
    </w:p>
    <w:p>
      <w:pPr>
        <w:pStyle w:val="4"/>
        <w:adjustRightInd w:val="0"/>
        <w:snapToGrid w:val="0"/>
        <w:spacing w:line="560" w:lineRule="exact"/>
        <w:ind w:firstLine="640" w:firstLineChars="200"/>
        <w:rPr>
          <w:rFonts w:ascii="Times New Roman" w:hAnsi="Times New Roman" w:eastAsia="仿宋" w:cs="Times New Roman"/>
        </w:rPr>
      </w:pPr>
      <w:bookmarkStart w:id="56" w:name="_Toc15396621"/>
      <w:r>
        <w:rPr>
          <w:rStyle w:val="26"/>
          <w:rFonts w:ascii="Times New Roman" w:hAnsi="Times New Roman" w:eastAsia="仿宋" w:cs="Times New Roman"/>
          <w:b w:val="0"/>
          <w:bCs w:val="0"/>
        </w:rPr>
        <w:t>三、</w:t>
      </w:r>
      <w:r>
        <w:rPr>
          <w:rFonts w:ascii="Times New Roman" w:hAnsi="Times New Roman" w:eastAsia="仿宋" w:cs="Times New Roman"/>
          <w:b w:val="0"/>
        </w:rPr>
        <w:t>支</w:t>
      </w:r>
      <w:r>
        <w:rPr>
          <w:rStyle w:val="26"/>
          <w:rFonts w:ascii="Times New Roman" w:hAnsi="Times New Roman" w:eastAsia="仿宋" w:cs="Times New Roman"/>
          <w:b w:val="0"/>
          <w:bCs w:val="0"/>
        </w:rPr>
        <w:t>出决算表</w:t>
      </w:r>
      <w:bookmarkEnd w:id="56"/>
    </w:p>
    <w:p>
      <w:pPr>
        <w:pStyle w:val="4"/>
        <w:adjustRightInd w:val="0"/>
        <w:snapToGrid w:val="0"/>
        <w:spacing w:line="560" w:lineRule="exact"/>
        <w:ind w:firstLine="640" w:firstLineChars="200"/>
        <w:rPr>
          <w:rFonts w:ascii="Times New Roman" w:hAnsi="Times New Roman" w:eastAsia="仿宋" w:cs="Times New Roman"/>
          <w:b w:val="0"/>
        </w:rPr>
      </w:pPr>
      <w:bookmarkStart w:id="57" w:name="_Toc15396622"/>
      <w:r>
        <w:rPr>
          <w:rStyle w:val="26"/>
          <w:rFonts w:ascii="Times New Roman" w:hAnsi="Times New Roman" w:eastAsia="仿宋" w:cs="Times New Roman"/>
          <w:b w:val="0"/>
          <w:bCs w:val="0"/>
        </w:rPr>
        <w:t>四、</w:t>
      </w:r>
      <w:r>
        <w:rPr>
          <w:rFonts w:ascii="Times New Roman" w:hAnsi="Times New Roman" w:eastAsia="仿宋" w:cs="Times New Roman"/>
          <w:b w:val="0"/>
        </w:rPr>
        <w:t>财</w:t>
      </w:r>
      <w:r>
        <w:rPr>
          <w:rStyle w:val="26"/>
          <w:rFonts w:ascii="Times New Roman" w:hAnsi="Times New Roman" w:eastAsia="仿宋" w:cs="Times New Roman"/>
          <w:b w:val="0"/>
          <w:bCs w:val="0"/>
        </w:rPr>
        <w:t>政拨款收入支出决算总表</w:t>
      </w:r>
      <w:bookmarkEnd w:id="57"/>
    </w:p>
    <w:p>
      <w:pPr>
        <w:pStyle w:val="4"/>
        <w:adjustRightInd w:val="0"/>
        <w:snapToGrid w:val="0"/>
        <w:spacing w:line="560" w:lineRule="exact"/>
        <w:ind w:firstLine="640" w:firstLineChars="200"/>
        <w:rPr>
          <w:rStyle w:val="26"/>
          <w:rFonts w:ascii="Times New Roman" w:hAnsi="Times New Roman" w:eastAsia="仿宋" w:cs="Times New Roman"/>
          <w:b w:val="0"/>
          <w:bCs w:val="0"/>
        </w:rPr>
      </w:pPr>
      <w:bookmarkStart w:id="58" w:name="_Toc15396623"/>
      <w:r>
        <w:rPr>
          <w:rStyle w:val="26"/>
          <w:rFonts w:ascii="Times New Roman" w:hAnsi="Times New Roman" w:eastAsia="仿宋" w:cs="Times New Roman"/>
          <w:b w:val="0"/>
          <w:bCs w:val="0"/>
        </w:rPr>
        <w:t>五、</w:t>
      </w:r>
      <w:r>
        <w:rPr>
          <w:rFonts w:ascii="Times New Roman" w:hAnsi="Times New Roman" w:eastAsia="仿宋" w:cs="Times New Roman"/>
          <w:b w:val="0"/>
        </w:rPr>
        <w:t>财</w:t>
      </w:r>
      <w:r>
        <w:rPr>
          <w:rStyle w:val="26"/>
          <w:rFonts w:ascii="Times New Roman" w:hAnsi="Times New Roman" w:eastAsia="仿宋" w:cs="Times New Roman"/>
          <w:b w:val="0"/>
          <w:bCs w:val="0"/>
        </w:rPr>
        <w:t>政拨款支出决算明细表</w:t>
      </w:r>
      <w:bookmarkEnd w:id="58"/>
      <w:bookmarkStart w:id="59" w:name="_Toc15396624"/>
    </w:p>
    <w:p>
      <w:pPr>
        <w:pStyle w:val="4"/>
        <w:adjustRightInd w:val="0"/>
        <w:snapToGrid w:val="0"/>
        <w:spacing w:line="560" w:lineRule="exact"/>
        <w:ind w:firstLine="640" w:firstLineChars="200"/>
        <w:rPr>
          <w:rFonts w:ascii="Times New Roman" w:hAnsi="Times New Roman" w:eastAsia="仿宋" w:cs="Times New Roman"/>
        </w:rPr>
      </w:pPr>
      <w:r>
        <w:rPr>
          <w:rStyle w:val="26"/>
          <w:rFonts w:ascii="Times New Roman" w:hAnsi="Times New Roman" w:eastAsia="仿宋" w:cs="Times New Roman"/>
          <w:b w:val="0"/>
          <w:bCs w:val="0"/>
        </w:rPr>
        <w:t>六、</w:t>
      </w:r>
      <w:r>
        <w:rPr>
          <w:rFonts w:ascii="Times New Roman" w:hAnsi="Times New Roman" w:eastAsia="仿宋" w:cs="Times New Roman"/>
          <w:b w:val="0"/>
        </w:rPr>
        <w:t>一</w:t>
      </w:r>
      <w:r>
        <w:rPr>
          <w:rStyle w:val="26"/>
          <w:rFonts w:ascii="Times New Roman" w:hAnsi="Times New Roman" w:eastAsia="仿宋" w:cs="Times New Roman"/>
          <w:b w:val="0"/>
          <w:bCs w:val="0"/>
        </w:rPr>
        <w:t>般公共预算财政拨款支出决算表</w:t>
      </w:r>
      <w:bookmarkEnd w:id="59"/>
    </w:p>
    <w:p>
      <w:pPr>
        <w:pStyle w:val="4"/>
        <w:adjustRightInd w:val="0"/>
        <w:snapToGrid w:val="0"/>
        <w:spacing w:line="560" w:lineRule="exact"/>
        <w:ind w:firstLine="640" w:firstLineChars="200"/>
        <w:rPr>
          <w:rFonts w:ascii="Times New Roman" w:hAnsi="Times New Roman" w:eastAsia="仿宋" w:cs="Times New Roman"/>
        </w:rPr>
      </w:pPr>
      <w:bookmarkStart w:id="60" w:name="_Toc15396625"/>
      <w:r>
        <w:rPr>
          <w:rStyle w:val="26"/>
          <w:rFonts w:ascii="Times New Roman" w:hAnsi="Times New Roman" w:eastAsia="仿宋" w:cs="Times New Roman"/>
          <w:b w:val="0"/>
          <w:bCs w:val="0"/>
        </w:rPr>
        <w:t>七、</w:t>
      </w:r>
      <w:r>
        <w:rPr>
          <w:rFonts w:ascii="Times New Roman" w:hAnsi="Times New Roman" w:eastAsia="仿宋" w:cs="Times New Roman"/>
          <w:b w:val="0"/>
        </w:rPr>
        <w:t>一</w:t>
      </w:r>
      <w:r>
        <w:rPr>
          <w:rStyle w:val="26"/>
          <w:rFonts w:ascii="Times New Roman" w:hAnsi="Times New Roman" w:eastAsia="仿宋" w:cs="Times New Roman"/>
          <w:b w:val="0"/>
          <w:bCs w:val="0"/>
        </w:rPr>
        <w:t>般公共预算财政拨款支出决算明细表</w:t>
      </w:r>
      <w:bookmarkEnd w:id="60"/>
    </w:p>
    <w:p>
      <w:pPr>
        <w:pStyle w:val="4"/>
        <w:adjustRightInd w:val="0"/>
        <w:snapToGrid w:val="0"/>
        <w:spacing w:line="560" w:lineRule="exact"/>
        <w:ind w:firstLine="640" w:firstLineChars="200"/>
        <w:rPr>
          <w:rFonts w:ascii="Times New Roman" w:hAnsi="Times New Roman" w:eastAsia="仿宋" w:cs="Times New Roman"/>
        </w:rPr>
      </w:pPr>
      <w:bookmarkStart w:id="61" w:name="_Toc15396626"/>
      <w:r>
        <w:rPr>
          <w:rStyle w:val="26"/>
          <w:rFonts w:ascii="Times New Roman" w:hAnsi="Times New Roman" w:eastAsia="仿宋" w:cs="Times New Roman"/>
          <w:b w:val="0"/>
          <w:bCs w:val="0"/>
        </w:rPr>
        <w:t>八、</w:t>
      </w:r>
      <w:r>
        <w:rPr>
          <w:rFonts w:ascii="Times New Roman" w:hAnsi="Times New Roman" w:eastAsia="仿宋" w:cs="Times New Roman"/>
          <w:b w:val="0"/>
        </w:rPr>
        <w:t>一</w:t>
      </w:r>
      <w:r>
        <w:rPr>
          <w:rStyle w:val="26"/>
          <w:rFonts w:ascii="Times New Roman" w:hAnsi="Times New Roman" w:eastAsia="仿宋" w:cs="Times New Roman"/>
          <w:b w:val="0"/>
          <w:bCs w:val="0"/>
        </w:rPr>
        <w:t>般公共预算财政拨款基本支出决算表</w:t>
      </w:r>
      <w:bookmarkEnd w:id="61"/>
    </w:p>
    <w:p>
      <w:pPr>
        <w:pStyle w:val="4"/>
        <w:adjustRightInd w:val="0"/>
        <w:snapToGrid w:val="0"/>
        <w:spacing w:line="560" w:lineRule="exact"/>
        <w:ind w:firstLine="640" w:firstLineChars="200"/>
        <w:rPr>
          <w:rFonts w:ascii="Times New Roman" w:hAnsi="Times New Roman" w:eastAsia="仿宋" w:cs="Times New Roman"/>
        </w:rPr>
      </w:pPr>
      <w:bookmarkStart w:id="62" w:name="_Toc15396627"/>
      <w:r>
        <w:rPr>
          <w:rStyle w:val="26"/>
          <w:rFonts w:ascii="Times New Roman" w:hAnsi="Times New Roman" w:eastAsia="仿宋" w:cs="Times New Roman"/>
          <w:b w:val="0"/>
          <w:bCs w:val="0"/>
        </w:rPr>
        <w:t>九、</w:t>
      </w:r>
      <w:r>
        <w:rPr>
          <w:rFonts w:ascii="Times New Roman" w:hAnsi="Times New Roman" w:eastAsia="仿宋" w:cs="Times New Roman"/>
          <w:b w:val="0"/>
        </w:rPr>
        <w:t>一</w:t>
      </w:r>
      <w:r>
        <w:rPr>
          <w:rStyle w:val="26"/>
          <w:rFonts w:ascii="Times New Roman" w:hAnsi="Times New Roman" w:eastAsia="仿宋" w:cs="Times New Roman"/>
          <w:b w:val="0"/>
          <w:bCs w:val="0"/>
        </w:rPr>
        <w:t>般公共预算财政拨款项目支出决算表</w:t>
      </w:r>
      <w:bookmarkEnd w:id="62"/>
    </w:p>
    <w:p>
      <w:pPr>
        <w:pStyle w:val="4"/>
        <w:adjustRightInd w:val="0"/>
        <w:snapToGrid w:val="0"/>
        <w:spacing w:line="560" w:lineRule="exact"/>
        <w:ind w:firstLine="640" w:firstLineChars="200"/>
        <w:rPr>
          <w:rFonts w:ascii="Times New Roman" w:hAnsi="Times New Roman" w:eastAsia="仿宋" w:cs="Times New Roman"/>
        </w:rPr>
      </w:pPr>
      <w:bookmarkStart w:id="63" w:name="_Toc15396628"/>
      <w:r>
        <w:rPr>
          <w:rStyle w:val="26"/>
          <w:rFonts w:ascii="Times New Roman" w:hAnsi="Times New Roman" w:eastAsia="仿宋" w:cs="Times New Roman"/>
          <w:b w:val="0"/>
          <w:bCs w:val="0"/>
        </w:rPr>
        <w:t>十、</w:t>
      </w:r>
      <w:bookmarkEnd w:id="63"/>
      <w:r>
        <w:rPr>
          <w:rFonts w:ascii="Times New Roman" w:hAnsi="Times New Roman" w:eastAsia="仿宋" w:cs="Times New Roman"/>
          <w:b w:val="0"/>
        </w:rPr>
        <w:t>政</w:t>
      </w:r>
      <w:r>
        <w:rPr>
          <w:rStyle w:val="26"/>
          <w:rFonts w:ascii="Times New Roman" w:hAnsi="Times New Roman" w:eastAsia="仿宋" w:cs="Times New Roman"/>
          <w:b w:val="0"/>
          <w:bCs w:val="0"/>
        </w:rPr>
        <w:t>府性基金预算财政拨款收入支出决算表</w:t>
      </w:r>
    </w:p>
    <w:p>
      <w:pPr>
        <w:pStyle w:val="4"/>
        <w:adjustRightInd w:val="0"/>
        <w:snapToGrid w:val="0"/>
        <w:spacing w:line="560" w:lineRule="exact"/>
        <w:ind w:firstLine="640" w:firstLineChars="200"/>
        <w:rPr>
          <w:rFonts w:ascii="Times New Roman" w:hAnsi="Times New Roman" w:eastAsia="仿宋" w:cs="Times New Roman"/>
        </w:rPr>
      </w:pPr>
      <w:bookmarkStart w:id="64" w:name="_Toc15396629"/>
      <w:r>
        <w:rPr>
          <w:rStyle w:val="26"/>
          <w:rFonts w:ascii="Times New Roman" w:hAnsi="Times New Roman" w:eastAsia="仿宋" w:cs="Times New Roman"/>
          <w:b w:val="0"/>
          <w:bCs w:val="0"/>
        </w:rPr>
        <w:t>十一、</w:t>
      </w:r>
      <w:bookmarkEnd w:id="64"/>
      <w:r>
        <w:rPr>
          <w:rFonts w:ascii="Times New Roman" w:hAnsi="Times New Roman" w:eastAsia="仿宋" w:cs="Times New Roman"/>
          <w:b w:val="0"/>
        </w:rPr>
        <w:t>国</w:t>
      </w:r>
      <w:r>
        <w:rPr>
          <w:rStyle w:val="26"/>
          <w:rFonts w:ascii="Times New Roman" w:hAnsi="Times New Roman" w:eastAsia="仿宋" w:cs="Times New Roman"/>
          <w:b w:val="0"/>
          <w:bCs w:val="0"/>
        </w:rPr>
        <w:t>有资本经营预算财政拨款收入支出决算表</w:t>
      </w:r>
    </w:p>
    <w:p>
      <w:pPr>
        <w:pStyle w:val="4"/>
        <w:adjustRightInd w:val="0"/>
        <w:snapToGrid w:val="0"/>
        <w:spacing w:line="560" w:lineRule="exact"/>
        <w:ind w:firstLine="640" w:firstLineChars="200"/>
        <w:rPr>
          <w:rFonts w:ascii="Times New Roman" w:hAnsi="Times New Roman" w:eastAsia="仿宋" w:cs="Times New Roman"/>
        </w:rPr>
      </w:pPr>
      <w:bookmarkStart w:id="65" w:name="_Toc15396630"/>
      <w:r>
        <w:rPr>
          <w:rStyle w:val="26"/>
          <w:rFonts w:ascii="Times New Roman" w:hAnsi="Times New Roman" w:eastAsia="仿宋" w:cs="Times New Roman"/>
          <w:b w:val="0"/>
          <w:bCs w:val="0"/>
        </w:rPr>
        <w:t>十二、</w:t>
      </w:r>
      <w:bookmarkEnd w:id="65"/>
      <w:r>
        <w:rPr>
          <w:rStyle w:val="26"/>
          <w:rFonts w:ascii="Times New Roman" w:hAnsi="Times New Roman" w:eastAsia="仿宋" w:cs="Times New Roman"/>
          <w:b w:val="0"/>
          <w:bCs w:val="0"/>
        </w:rPr>
        <w:t>国有资本经营预算财政拨款支出决算表</w:t>
      </w:r>
    </w:p>
    <w:p>
      <w:pPr>
        <w:pStyle w:val="4"/>
        <w:adjustRightInd w:val="0"/>
        <w:snapToGrid w:val="0"/>
        <w:spacing w:line="560" w:lineRule="exact"/>
        <w:ind w:firstLine="640" w:firstLineChars="200"/>
        <w:rPr>
          <w:rFonts w:ascii="Times New Roman" w:hAnsi="Times New Roman" w:eastAsia="仿宋" w:cs="Times New Roman"/>
        </w:rPr>
      </w:pPr>
      <w:bookmarkStart w:id="66" w:name="_Toc15396631"/>
      <w:r>
        <w:rPr>
          <w:rStyle w:val="26"/>
          <w:rFonts w:ascii="Times New Roman" w:hAnsi="Times New Roman" w:eastAsia="仿宋" w:cs="Times New Roman"/>
          <w:b w:val="0"/>
          <w:bCs w:val="0"/>
        </w:rPr>
        <w:t>十三、</w:t>
      </w:r>
      <w:bookmarkEnd w:id="66"/>
      <w:r>
        <w:rPr>
          <w:rStyle w:val="26"/>
          <w:rFonts w:ascii="Times New Roman" w:hAnsi="Times New Roman" w:eastAsia="仿宋" w:cs="Times New Roman"/>
          <w:b w:val="0"/>
          <w:bCs w:val="0"/>
        </w:rPr>
        <w:t>财政拨款“三公”经费支出决算表</w:t>
      </w:r>
    </w:p>
    <w:sectPr>
      <w:footerReference r:id="rId5" w:type="firs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MzM1OTlkYTdiYjJmYjcwOWM1Mjk4ZGZkNDBmZ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0D59"/>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1ACE"/>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1E1A1F"/>
    <w:rsid w:val="04433096"/>
    <w:rsid w:val="053A62B5"/>
    <w:rsid w:val="07E21F88"/>
    <w:rsid w:val="09732DA3"/>
    <w:rsid w:val="0A2032A3"/>
    <w:rsid w:val="0B8A37D8"/>
    <w:rsid w:val="0BE03BC6"/>
    <w:rsid w:val="0C1A5107"/>
    <w:rsid w:val="0C5C1C12"/>
    <w:rsid w:val="0CCE17EE"/>
    <w:rsid w:val="0D9D1463"/>
    <w:rsid w:val="0EE50270"/>
    <w:rsid w:val="10724E1C"/>
    <w:rsid w:val="10C055FF"/>
    <w:rsid w:val="118107EC"/>
    <w:rsid w:val="11DD6519"/>
    <w:rsid w:val="11EC3A38"/>
    <w:rsid w:val="13D43A22"/>
    <w:rsid w:val="16BB723D"/>
    <w:rsid w:val="17F451EC"/>
    <w:rsid w:val="18015F3F"/>
    <w:rsid w:val="19966DA6"/>
    <w:rsid w:val="1AA11DA7"/>
    <w:rsid w:val="1BE8440E"/>
    <w:rsid w:val="1D155CEE"/>
    <w:rsid w:val="1DEA4A6B"/>
    <w:rsid w:val="1DED0613"/>
    <w:rsid w:val="1EDD4EAF"/>
    <w:rsid w:val="1EE937D9"/>
    <w:rsid w:val="2008306D"/>
    <w:rsid w:val="203D2777"/>
    <w:rsid w:val="20F57F95"/>
    <w:rsid w:val="20F80E85"/>
    <w:rsid w:val="212E7D9D"/>
    <w:rsid w:val="21D90A33"/>
    <w:rsid w:val="2253786F"/>
    <w:rsid w:val="22A243CB"/>
    <w:rsid w:val="240371BF"/>
    <w:rsid w:val="241C01AD"/>
    <w:rsid w:val="25711CC6"/>
    <w:rsid w:val="25C741E6"/>
    <w:rsid w:val="26365FAB"/>
    <w:rsid w:val="26AC3A6A"/>
    <w:rsid w:val="27842671"/>
    <w:rsid w:val="27D72D69"/>
    <w:rsid w:val="28C6065B"/>
    <w:rsid w:val="294151D6"/>
    <w:rsid w:val="29FD04D3"/>
    <w:rsid w:val="2ABE7A3E"/>
    <w:rsid w:val="2CA234A8"/>
    <w:rsid w:val="2D263E4A"/>
    <w:rsid w:val="2D736B67"/>
    <w:rsid w:val="2D862F62"/>
    <w:rsid w:val="2EC566E9"/>
    <w:rsid w:val="2EFA178C"/>
    <w:rsid w:val="30B46D73"/>
    <w:rsid w:val="319F7F4E"/>
    <w:rsid w:val="33595455"/>
    <w:rsid w:val="33F627C9"/>
    <w:rsid w:val="34BF0E0C"/>
    <w:rsid w:val="35196828"/>
    <w:rsid w:val="357A4D33"/>
    <w:rsid w:val="383D272C"/>
    <w:rsid w:val="39AE70AB"/>
    <w:rsid w:val="3A1953EC"/>
    <w:rsid w:val="3C0C0783"/>
    <w:rsid w:val="3C1B439C"/>
    <w:rsid w:val="3C302DB0"/>
    <w:rsid w:val="3F9F3A96"/>
    <w:rsid w:val="40642868"/>
    <w:rsid w:val="409664BB"/>
    <w:rsid w:val="42601A81"/>
    <w:rsid w:val="42B97DB2"/>
    <w:rsid w:val="43884ABF"/>
    <w:rsid w:val="45FA3972"/>
    <w:rsid w:val="46420012"/>
    <w:rsid w:val="469F1C0E"/>
    <w:rsid w:val="48BF60AB"/>
    <w:rsid w:val="493C27E9"/>
    <w:rsid w:val="496F39ED"/>
    <w:rsid w:val="49FF41D3"/>
    <w:rsid w:val="4A5439D5"/>
    <w:rsid w:val="4BE068DB"/>
    <w:rsid w:val="4BF6002B"/>
    <w:rsid w:val="4D0F0CA0"/>
    <w:rsid w:val="4D7F3B40"/>
    <w:rsid w:val="4DDA254F"/>
    <w:rsid w:val="4ECE2238"/>
    <w:rsid w:val="4F8F54BF"/>
    <w:rsid w:val="515E3E00"/>
    <w:rsid w:val="51DB4B86"/>
    <w:rsid w:val="533D58C6"/>
    <w:rsid w:val="55333C3E"/>
    <w:rsid w:val="55482300"/>
    <w:rsid w:val="567738D1"/>
    <w:rsid w:val="56D41E2C"/>
    <w:rsid w:val="584170F0"/>
    <w:rsid w:val="587A4EC7"/>
    <w:rsid w:val="58AB459A"/>
    <w:rsid w:val="58BF28DA"/>
    <w:rsid w:val="5BFC5BB8"/>
    <w:rsid w:val="5C210889"/>
    <w:rsid w:val="5C346D12"/>
    <w:rsid w:val="5C3F5724"/>
    <w:rsid w:val="5DBA385B"/>
    <w:rsid w:val="5EAF519E"/>
    <w:rsid w:val="5F105396"/>
    <w:rsid w:val="60805E17"/>
    <w:rsid w:val="609761FC"/>
    <w:rsid w:val="612C5D46"/>
    <w:rsid w:val="615644A4"/>
    <w:rsid w:val="62410803"/>
    <w:rsid w:val="631F28F3"/>
    <w:rsid w:val="63D017A4"/>
    <w:rsid w:val="64CA39A1"/>
    <w:rsid w:val="67254250"/>
    <w:rsid w:val="69630ADE"/>
    <w:rsid w:val="6A4315BC"/>
    <w:rsid w:val="6C4A05C8"/>
    <w:rsid w:val="6C57134F"/>
    <w:rsid w:val="6D3B1A89"/>
    <w:rsid w:val="6E2039C3"/>
    <w:rsid w:val="6E791169"/>
    <w:rsid w:val="6F891CC2"/>
    <w:rsid w:val="70657DB3"/>
    <w:rsid w:val="70DA4E7A"/>
    <w:rsid w:val="71BF4EC2"/>
    <w:rsid w:val="72047A8C"/>
    <w:rsid w:val="7233059F"/>
    <w:rsid w:val="723D3E89"/>
    <w:rsid w:val="72476BB3"/>
    <w:rsid w:val="72734D90"/>
    <w:rsid w:val="734B4C6A"/>
    <w:rsid w:val="73A20BF8"/>
    <w:rsid w:val="73E070BE"/>
    <w:rsid w:val="73E37D7D"/>
    <w:rsid w:val="7412278C"/>
    <w:rsid w:val="75372C63"/>
    <w:rsid w:val="76E45B98"/>
    <w:rsid w:val="78D37FAF"/>
    <w:rsid w:val="79E7B28D"/>
    <w:rsid w:val="7AFF257A"/>
    <w:rsid w:val="7B32650D"/>
    <w:rsid w:val="7C0D54E9"/>
    <w:rsid w:val="7D050CA4"/>
    <w:rsid w:val="7D5D2033"/>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Desktop\&#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6342221690781"/>
          <c:y val="0.0287339971550498"/>
        </c:manualLayout>
      </c:layout>
      <c:overlay val="0"/>
      <c:spPr>
        <a:noFill/>
        <a:ln>
          <a:noFill/>
        </a:ln>
        <a:effectLst/>
      </c:spPr>
      <c:tx>
        <c:rich>
          <a:bodyPr/>
          <a:lstStyle/>
          <a:p>
            <a:pPr>
              <a:defRPr/>
            </a:pPr>
          </a:p>
        </c:rich>
      </c:tx>
    </c:title>
    <c:autoTitleDeleted val="0"/>
    <c:plotArea>
      <c:layout>
        <c:manualLayout>
          <c:layoutTarget val="inner"/>
          <c:xMode val="edge"/>
          <c:yMode val="edge"/>
          <c:x val="0.114412770536889"/>
          <c:y val="0.170666192508297"/>
          <c:w val="0.882"/>
          <c:h val="0.711666666666667"/>
        </c:manualLayout>
      </c:layout>
      <c:barChart>
        <c:barDir val="col"/>
        <c:grouping val="stacked"/>
        <c:varyColors val="0"/>
        <c:ser>
          <c:idx val="0"/>
          <c:order val="0"/>
          <c:spPr>
            <a:solidFill>
              <a:schemeClr val="accent2">
                <a:lumMod val="60000"/>
                <a:lumOff val="40000"/>
              </a:schemeClr>
            </a:solidFill>
            <a:ln>
              <a:noFill/>
            </a:ln>
            <a:effectLst/>
          </c:spPr>
          <c:invertIfNegative val="0"/>
          <c:dPt>
            <c:idx val="1"/>
            <c:invertIfNegative val="0"/>
            <c:bubble3D val="0"/>
            <c:spPr>
              <a:solidFill>
                <a:schemeClr val="accent1">
                  <a:lumMod val="60000"/>
                  <a:lumOff val="40000"/>
                </a:schemeClr>
              </a:solidFill>
              <a:ln>
                <a:noFill/>
              </a:ln>
              <a:effectLst/>
            </c:spPr>
          </c:dPt>
          <c:dLbls>
            <c:delete val="1"/>
          </c:dLbls>
          <c:cat>
            <c:strRef>
              <c:f>[工作簿1.xlsx]Sheet1!$C$5:$C$6</c:f>
              <c:strCache>
                <c:ptCount val="2"/>
                <c:pt idx="0">
                  <c:v>2021年</c:v>
                </c:pt>
                <c:pt idx="1">
                  <c:v>2022年</c:v>
                </c:pt>
              </c:strCache>
            </c:strRef>
          </c:cat>
          <c:val>
            <c:numRef>
              <c:f>[工作簿1.xlsx]Sheet1!$D$5:$D$6</c:f>
              <c:numCache>
                <c:formatCode>General</c:formatCode>
                <c:ptCount val="2"/>
                <c:pt idx="0">
                  <c:v>1560.31</c:v>
                </c:pt>
                <c:pt idx="1">
                  <c:v>2021.8</c:v>
                </c:pt>
              </c:numCache>
            </c:numRef>
          </c:val>
        </c:ser>
        <c:dLbls>
          <c:showLegendKey val="0"/>
          <c:showVal val="0"/>
          <c:showCatName val="0"/>
          <c:showSerName val="0"/>
          <c:showPercent val="0"/>
          <c:showBubbleSize val="0"/>
        </c:dLbls>
        <c:gapWidth val="150"/>
        <c:overlap val="100"/>
        <c:axId val="147869696"/>
        <c:axId val="147871232"/>
      </c:barChart>
      <c:catAx>
        <c:axId val="1478696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71232"/>
        <c:crosses val="autoZero"/>
        <c:auto val="1"/>
        <c:lblAlgn val="ctr"/>
        <c:lblOffset val="100"/>
        <c:noMultiLvlLbl val="0"/>
      </c:catAx>
      <c:valAx>
        <c:axId val="147871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6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[工作簿1.xlsx]Sheet1!$C$40</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[工作簿1.xlsx]Sheet1!$D$40</c:f>
              <c:numCache>
                <c:formatCode>General</c:formatCode>
                <c:ptCount val="1"/>
                <c:pt idx="0">
                  <c:v>1933.38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[工作簿1.xlsx]Sheet1!$C$5:$C$6</c:f>
              <c:strCache>
                <c:ptCount val="2"/>
                <c:pt idx="0">
                  <c:v>基本支出</c:v>
                </c:pt>
                <c:pt idx="1">
                  <c:v>项目支出</c:v>
                </c:pt>
              </c:strCache>
            </c:strRef>
          </c:cat>
          <c:val>
            <c:numRef>
              <c:f>[工作簿1.xlsx]Sheet1!$D$5:$D$6</c:f>
              <c:numCache>
                <c:formatCode>General</c:formatCode>
                <c:ptCount val="2"/>
                <c:pt idx="0">
                  <c:v>1533.76</c:v>
                </c:pt>
                <c:pt idx="1">
                  <c:v>488.03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6994600289741"/>
          <c:y val="0.144612403100775"/>
          <c:w val="0.882"/>
          <c:h val="0.711666666666667"/>
        </c:manualLayout>
      </c:layout>
      <c:barChart>
        <c:barDir val="col"/>
        <c:grouping val="stack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dPt>
          <c:dLbls>
            <c:delete val="1"/>
          </c:dLbls>
          <c:cat>
            <c:strRef>
              <c:f>[工作簿1.xlsx]Sheet1!$C$5:$C$6</c:f>
              <c:strCache>
                <c:ptCount val="2"/>
                <c:pt idx="0">
                  <c:v>2021年</c:v>
                </c:pt>
                <c:pt idx="1">
                  <c:v>2022年</c:v>
                </c:pt>
              </c:strCache>
            </c:strRef>
          </c:cat>
          <c:val>
            <c:numRef>
              <c:f>[工作簿1.xlsx]Sheet1!$D$5:$D$6</c:f>
              <c:numCache>
                <c:formatCode>General</c:formatCode>
                <c:ptCount val="2"/>
                <c:pt idx="0">
                  <c:v>1560.31</c:v>
                </c:pt>
                <c:pt idx="1">
                  <c:v>2021.8</c:v>
                </c:pt>
              </c:numCache>
            </c:numRef>
          </c:val>
        </c:ser>
        <c:dLbls>
          <c:showLegendKey val="0"/>
          <c:showVal val="0"/>
          <c:showCatName val="0"/>
          <c:showSerName val="0"/>
          <c:showPercent val="0"/>
          <c:showBubbleSize val="0"/>
        </c:dLbls>
        <c:gapWidth val="150"/>
        <c:overlap val="100"/>
        <c:axId val="148168064"/>
        <c:axId val="150090880"/>
      </c:barChart>
      <c:catAx>
        <c:axId val="1481680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090880"/>
        <c:crosses val="autoZero"/>
        <c:auto val="1"/>
        <c:lblAlgn val="ctr"/>
        <c:lblOffset val="100"/>
        <c:noMultiLvlLbl val="0"/>
      </c:catAx>
      <c:valAx>
        <c:axId val="15009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816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31221060987"/>
          <c:y val="0.0595289079229122"/>
          <c:w val="0.882"/>
          <c:h val="0.711666666666667"/>
        </c:manualLayout>
      </c:layout>
      <c:barChart>
        <c:barDir val="col"/>
        <c:grouping val="stacked"/>
        <c:varyColors val="0"/>
        <c:ser>
          <c:idx val="0"/>
          <c:order val="0"/>
          <c:spPr>
            <a:solidFill>
              <a:schemeClr val="accent6">
                <a:lumMod val="60000"/>
                <a:lumOff val="40000"/>
              </a:schemeClr>
            </a:solidFill>
            <a:ln>
              <a:noFill/>
            </a:ln>
            <a:effectLst/>
          </c:spPr>
          <c:invertIfNegative val="0"/>
          <c:dPt>
            <c:idx val="0"/>
            <c:invertIfNegative val="0"/>
            <c:bubble3D val="0"/>
            <c:spPr>
              <a:solidFill>
                <a:schemeClr val="tx2">
                  <a:lumMod val="60000"/>
                  <a:lumOff val="40000"/>
                </a:schemeClr>
              </a:solidFill>
              <a:ln>
                <a:noFill/>
              </a:ln>
              <a:effectLst/>
            </c:spPr>
          </c:dPt>
          <c:dLbls>
            <c:delete val="1"/>
          </c:dLbls>
          <c:cat>
            <c:strRef>
              <c:f>[工作簿1.xlsx]Sheet1!$C$5:$C$6</c:f>
              <c:strCache>
                <c:ptCount val="2"/>
                <c:pt idx="0">
                  <c:v>2021年</c:v>
                </c:pt>
                <c:pt idx="1">
                  <c:v>2022年</c:v>
                </c:pt>
              </c:strCache>
            </c:strRef>
          </c:cat>
          <c:val>
            <c:numRef>
              <c:f>[工作簿1.xlsx]Sheet1!$D$5:$D$6</c:f>
              <c:numCache>
                <c:formatCode>General</c:formatCode>
                <c:ptCount val="2"/>
                <c:pt idx="0">
                  <c:v>1560.31</c:v>
                </c:pt>
                <c:pt idx="1">
                  <c:v>2021.8</c:v>
                </c:pt>
              </c:numCache>
            </c:numRef>
          </c:val>
        </c:ser>
        <c:dLbls>
          <c:showLegendKey val="0"/>
          <c:showVal val="0"/>
          <c:showCatName val="0"/>
          <c:showSerName val="0"/>
          <c:showPercent val="0"/>
          <c:showBubbleSize val="0"/>
        </c:dLbls>
        <c:gapWidth val="150"/>
        <c:overlap val="100"/>
        <c:axId val="150123264"/>
        <c:axId val="150124800"/>
      </c:barChart>
      <c:catAx>
        <c:axId val="150123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124800"/>
        <c:crosses val="autoZero"/>
        <c:auto val="1"/>
        <c:lblAlgn val="ctr"/>
        <c:lblOffset val="100"/>
        <c:noMultiLvlLbl val="0"/>
      </c:catAx>
      <c:valAx>
        <c:axId val="15012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12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[工作簿1.xlsx]Sheet1!$C$5:$C$8</c:f>
              <c:strCache>
                <c:ptCount val="4"/>
                <c:pt idx="0">
                  <c:v>社会保障和就业支出</c:v>
                </c:pt>
                <c:pt idx="1">
                  <c:v>卫生健康支出</c:v>
                </c:pt>
                <c:pt idx="2">
                  <c:v>农林水支出</c:v>
                </c:pt>
                <c:pt idx="3">
                  <c:v>住房保障支出</c:v>
                </c:pt>
              </c:strCache>
            </c:strRef>
          </c:cat>
          <c:val>
            <c:numRef>
              <c:f>[工作簿1.xlsx]Sheet1!$D$5:$D$8</c:f>
              <c:numCache>
                <c:formatCode>0.00%</c:formatCode>
                <c:ptCount val="4"/>
                <c:pt idx="0">
                  <c:v>0.1432</c:v>
                </c:pt>
                <c:pt idx="1">
                  <c:v>0.0001</c:v>
                </c:pt>
                <c:pt idx="2">
                  <c:v>0.8031</c:v>
                </c:pt>
                <c:pt idx="3">
                  <c:v>0.0536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[工作簿1]Sheet1!$C$6:$C$7</c:f>
              <c:strCache>
                <c:ptCount val="2"/>
                <c:pt idx="0">
                  <c:v>公务用车购置及运行维护费支出</c:v>
                </c:pt>
                <c:pt idx="1">
                  <c:v>公务接待费支出</c:v>
                </c:pt>
              </c:strCache>
            </c:strRef>
          </c:cat>
          <c:val>
            <c:numRef>
              <c:f>[工作簿1]Sheet1!$D$6:$D$7</c:f>
              <c:numCache>
                <c:formatCode>0.00%</c:formatCode>
                <c:ptCount val="2"/>
                <c:pt idx="0">
                  <c:v>0.8727</c:v>
                </c:pt>
                <c:pt idx="1">
                  <c:v>0.1273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6966</Words>
  <Characters>7593</Characters>
  <Lines>7</Lines>
  <Paragraphs>15</Paragraphs>
  <TotalTime>115</TotalTime>
  <ScaleCrop>false</ScaleCrop>
  <LinksUpToDate>false</LinksUpToDate>
  <CharactersWithSpaces>7635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张捷</cp:lastModifiedBy>
  <cp:lastPrinted>2023-09-12T00:57:00Z</cp:lastPrinted>
  <dcterms:modified xsi:type="dcterms:W3CDTF">2023-09-14T03:06:22Z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59BC1FEF09EF48AE89FA33C0F4BB323C_13</vt:lpwstr>
  </property>
</Properties>
</file>