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7425"/>
      <w:bookmarkStart w:id="2" w:name="_Toc15306267"/>
      <w:bookmarkStart w:id="3" w:name="_Toc15377193"/>
      <w:bookmarkStart w:id="4" w:name="_Toc15396475"/>
      <w:bookmarkStart w:id="5" w:name="_Toc15378441"/>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2"/>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攀枝花市胜利水利工程运行中心</w:t>
      </w:r>
    </w:p>
    <w:p>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决算公开文字说明</w:t>
      </w:r>
    </w:p>
    <w:p>
      <w:pPr>
        <w:spacing w:line="600" w:lineRule="exact"/>
        <w:jc w:val="center"/>
        <w:outlineLvl w:val="0"/>
        <w:rPr>
          <w:rFonts w:ascii="Times New Roman" w:hAnsi="Times New Roman" w:eastAsia="方正小标宋简体"/>
          <w:color w:val="auto"/>
          <w:sz w:val="72"/>
          <w:szCs w:val="72"/>
          <w:highlight w:val="none"/>
        </w:rPr>
      </w:pPr>
    </w:p>
    <w:p>
      <w:pPr>
        <w:pStyle w:val="19"/>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pPr>
        <w:widowControl/>
        <w:jc w:val="center"/>
        <w:outlineLvl w:val="1"/>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outlineLvl w:val="1"/>
        <w:rPr>
          <w:rFonts w:ascii="Times New Roman" w:hAnsi="Times New Roman" w:eastAsia="黑体" w:cstheme="minorBidi"/>
          <w:color w:val="auto"/>
          <w:sz w:val="28"/>
          <w:szCs w:val="28"/>
          <w:highlight w:val="none"/>
        </w:rPr>
      </w:pPr>
    </w:p>
    <w:p>
      <w:pPr>
        <w:pStyle w:val="12"/>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bookmarkStart w:id="63" w:name="_GoBack"/>
      <w:bookmarkEnd w:id="63"/>
    </w:p>
    <w:p>
      <w:pPr>
        <w:outlineLvl w:val="1"/>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outlineLvl w:val="1"/>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rFonts w:hint="eastAsia" w:ascii="Times New Roman" w:hAnsi="Times New Roman" w:eastAsia="黑体" w:cs="黑体"/>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.....................................................................3</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outlineLvl w:val="1"/>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r>
        <w:rPr>
          <w:rFonts w:hint="eastAsia" w:ascii="Times New Roman" w:hAnsi="Times New Roman" w:eastAsia="黑体" w:cs="黑体"/>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........................................11</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outlineLvl w:val="1"/>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.................................................................14</w:t>
      </w:r>
    </w:p>
    <w:p>
      <w:pPr>
        <w:rPr>
          <w:rFonts w:hint="default"/>
          <w:lang w:val="en-US" w:eastAsia="zh-CN"/>
        </w:rPr>
      </w:pPr>
      <w:r>
        <w:rPr>
          <w:rFonts w:hint="eastAsia" w:eastAsia="黑体" w:cs="黑体"/>
          <w:color w:val="auto"/>
          <w:sz w:val="32"/>
          <w:szCs w:val="32"/>
          <w:highlight w:val="none"/>
          <w:lang w:val="en-US" w:eastAsia="zh-CN"/>
        </w:rPr>
        <w:t>第四部分 附件.........................................................................16</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outlineLvl w:val="1"/>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eastAsia="zh-CN"/>
        </w:rPr>
        <w:t>五</w:t>
      </w:r>
      <w:r>
        <w:rPr>
          <w:rFonts w:hint="eastAsia" w:ascii="Times New Roman" w:hAnsi="Times New Roman" w:eastAsia="黑体" w:cs="黑体"/>
          <w:color w:val="auto"/>
          <w:sz w:val="32"/>
          <w:szCs w:val="32"/>
          <w:highlight w:val="none"/>
        </w:rPr>
        <w:t>部分 附表</w:t>
      </w:r>
      <w:r>
        <w:rPr>
          <w:rFonts w:hint="eastAsia" w:ascii="Times New Roman" w:hAnsi="Times New Roman" w:eastAsia="黑体" w:cs="黑体"/>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..........17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default" w:ascii="Times New Roman" w:hAnsi="Times New Roman" w:eastAsia="方正小标宋简体" w:cs="方正小标宋简体"/>
          <w:b w:val="0"/>
          <w:color w:val="auto"/>
          <w:highlight w:val="none"/>
          <w:lang w:val="en-US"/>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..................1</w:t>
      </w:r>
      <w:bookmarkStart w:id="6" w:name="_Toc15396599"/>
      <w:bookmarkStart w:id="7" w:name="_Toc15377196"/>
      <w:r>
        <w:rPr>
          <w:rFonts w:hint="eastAsia" w:eastAsia="仿宋_GB2312" w:cs="仿宋_GB2312"/>
          <w:color w:val="auto"/>
          <w:sz w:val="32"/>
          <w:szCs w:val="32"/>
          <w:highlight w:val="none"/>
          <w:lang w:val="en-US" w:eastAsia="zh-CN"/>
        </w:rPr>
        <w:t>7</w:t>
      </w:r>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pPr>
        <w:pStyle w:val="4"/>
        <w:rPr>
          <w:rFonts w:hint="eastAsia" w:ascii="Times New Roman" w:hAnsi="Times New Roman" w:eastAsia="黑体"/>
          <w:b w:val="0"/>
          <w:color w:val="auto"/>
          <w:highlight w:val="none"/>
          <w:lang w:eastAsia="zh-CN"/>
        </w:rPr>
      </w:pPr>
      <w:bookmarkStart w:id="8" w:name="_Toc15377197"/>
      <w:bookmarkStart w:id="9" w:name="_Toc15396600"/>
      <w:r>
        <w:rPr>
          <w:rFonts w:hint="eastAsia" w:ascii="Times New Roman" w:hAnsi="Times New Roman" w:eastAsia="黑体"/>
          <w:b w:val="0"/>
          <w:color w:val="auto"/>
          <w:highlight w:val="none"/>
        </w:rPr>
        <w:t>一、</w:t>
      </w:r>
      <w:bookmarkEnd w:id="8"/>
      <w:bookmarkEnd w:id="9"/>
      <w:r>
        <w:rPr>
          <w:rFonts w:hint="eastAsia" w:ascii="Times New Roman" w:hAnsi="Times New Roman" w:eastAsia="黑体"/>
          <w:b w:val="0"/>
          <w:color w:val="auto"/>
          <w:highlight w:val="none"/>
          <w:lang w:eastAsia="zh-CN"/>
        </w:rPr>
        <w:t>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eastAsia="zh-CN"/>
        </w:rPr>
      </w:pPr>
      <w:r>
        <w:rPr>
          <w:rFonts w:hint="default" w:ascii="Times New Roman" w:hAnsi="Times New Roman" w:eastAsia="仿宋_GB2312" w:cs="Times New Roman"/>
          <w:color w:val="auto"/>
          <w:sz w:val="32"/>
          <w:szCs w:val="32"/>
        </w:rPr>
        <w:t>负责胜利水库、沙坝田水库管理范围内的工程及设施设备管理；承担日常维修养护、运行管理、安全监测、供水调度具体工作；编制汛期调度运行计划、大坝安全应急预案、防汛抢险应急预案并按批准的水库调度规程组织实施；承担权限范围内的水生态保护具体工作。</w:t>
      </w:r>
    </w:p>
    <w:p>
      <w:pPr>
        <w:pStyle w:val="4"/>
        <w:rPr>
          <w:rStyle w:val="29"/>
          <w:rFonts w:ascii="Times New Roman" w:hAnsi="Times New Roman"/>
          <w:b w:val="0"/>
          <w:bCs w:val="0"/>
          <w:color w:val="auto"/>
          <w:highlight w:val="none"/>
        </w:rPr>
      </w:pPr>
      <w:bookmarkStart w:id="10" w:name="_Toc15396601"/>
      <w:bookmarkStart w:id="11" w:name="_Toc15377200"/>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10"/>
      <w:bookmarkEnd w:id="11"/>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四川省攀枝花市胜利水利工程运行中心</w:t>
      </w:r>
      <w:r>
        <w:rPr>
          <w:rFonts w:hint="eastAsia" w:ascii="仿宋_GB2312" w:hAnsi="仿宋_GB2312" w:eastAsia="仿宋_GB2312" w:cs="仿宋_GB2312"/>
          <w:color w:val="auto"/>
          <w:sz w:val="32"/>
          <w:szCs w:val="32"/>
          <w:highlight w:val="none"/>
          <w:lang w:eastAsia="zh-CN"/>
        </w:rPr>
        <w:t>无</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w:t>
      </w:r>
      <w:r>
        <w:rPr>
          <w:rFonts w:hint="eastAsia" w:eastAsia="仿宋_GB2312" w:cs="仿宋_GB2312"/>
          <w:color w:val="auto"/>
          <w:sz w:val="32"/>
          <w:szCs w:val="32"/>
          <w:highlight w:val="none"/>
          <w:lang w:eastAsia="zh-CN"/>
        </w:rPr>
        <w:t>算单位，</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设</w:t>
      </w:r>
      <w:r>
        <w:rPr>
          <w:rFonts w:hint="default" w:ascii="Times New Roman" w:hAnsi="Times New Roman" w:eastAsia="仿宋_GB2312" w:cs="Times New Roman"/>
          <w:color w:val="auto"/>
          <w:sz w:val="32"/>
          <w:szCs w:val="32"/>
          <w:lang w:eastAsia="zh-CN"/>
        </w:rPr>
        <w:t>机构</w:t>
      </w:r>
      <w:r>
        <w:rPr>
          <w:rFonts w:hint="default" w:ascii="Times New Roman" w:hAnsi="Times New Roman" w:eastAsia="仿宋_GB2312" w:cs="Times New Roman"/>
          <w:color w:val="auto"/>
          <w:sz w:val="32"/>
          <w:szCs w:val="32"/>
        </w:rPr>
        <w:t>4个</w:t>
      </w:r>
      <w:r>
        <w:rPr>
          <w:rFonts w:hint="default" w:ascii="Times New Roman" w:hAnsi="Times New Roman" w:eastAsia="仿宋_GB2312" w:cs="Times New Roman"/>
          <w:color w:val="auto"/>
          <w:sz w:val="32"/>
          <w:szCs w:val="32"/>
          <w:lang w:eastAsia="zh-CN"/>
        </w:rPr>
        <w:t>，分别为</w:t>
      </w:r>
      <w:r>
        <w:rPr>
          <w:rFonts w:hint="default" w:ascii="Times New Roman" w:hAnsi="Times New Roman" w:eastAsia="仿宋_GB2312" w:cs="Times New Roman"/>
          <w:color w:val="auto"/>
          <w:sz w:val="32"/>
          <w:szCs w:val="32"/>
        </w:rPr>
        <w:t>：办公室、胜利管理科、沙坝田管理科、综合计划科</w:t>
      </w:r>
      <w:r>
        <w:rPr>
          <w:rFonts w:hint="eastAsia" w:ascii="Times New Roman" w:hAnsi="Times New Roman" w:eastAsia="仿宋_GB2312" w:cs="仿宋_GB2312"/>
          <w:color w:val="auto"/>
          <w:sz w:val="32"/>
          <w:szCs w:val="32"/>
          <w:highlight w:val="none"/>
        </w:rPr>
        <w:t>。</w:t>
      </w:r>
    </w:p>
    <w:p>
      <w:pPr>
        <w:pStyle w:val="2"/>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pPr>
        <w:widowControl/>
        <w:jc w:val="left"/>
        <w:rPr>
          <w:rFonts w:ascii="Times New Roman" w:hAnsi="Times New Roman" w:eastAsia="仿宋"/>
          <w:color w:val="auto"/>
          <w:kern w:val="0"/>
          <w:sz w:val="32"/>
          <w:szCs w:val="32"/>
          <w:highlight w:val="none"/>
        </w:rPr>
      </w:pPr>
    </w:p>
    <w:p>
      <w:pPr>
        <w:pStyle w:val="2"/>
        <w:rPr>
          <w:rFonts w:ascii="Times New Roman" w:hAnsi="Times New Roman" w:eastAsia="仿宋"/>
          <w:color w:val="auto"/>
          <w:kern w:val="0"/>
          <w:sz w:val="32"/>
          <w:szCs w:val="32"/>
          <w:highlight w:val="none"/>
        </w:rPr>
      </w:pPr>
    </w:p>
    <w:p>
      <w:pPr>
        <w:pStyle w:val="2"/>
        <w:rPr>
          <w:rFonts w:ascii="Times New Roman" w:hAnsi="Times New Roman" w:eastAsia="仿宋"/>
          <w:color w:val="auto"/>
          <w:kern w:val="0"/>
          <w:sz w:val="32"/>
          <w:szCs w:val="32"/>
          <w:highlight w:val="none"/>
        </w:rPr>
      </w:pPr>
    </w:p>
    <w:p>
      <w:pPr>
        <w:pStyle w:val="2"/>
        <w:rPr>
          <w:rFonts w:ascii="Times New Roman" w:hAnsi="Times New Roman" w:eastAsia="仿宋"/>
          <w:color w:val="auto"/>
          <w:kern w:val="0"/>
          <w:sz w:val="32"/>
          <w:szCs w:val="32"/>
          <w:highlight w:val="none"/>
        </w:rPr>
      </w:pPr>
    </w:p>
    <w:p>
      <w:pPr>
        <w:pStyle w:val="3"/>
        <w:jc w:val="center"/>
        <w:rPr>
          <w:rFonts w:hint="eastAsia" w:ascii="Times New Roman" w:hAnsi="Times New Roman" w:eastAsia="方正小标宋简体" w:cs="方正小标宋简体"/>
          <w:b w:val="0"/>
          <w:color w:val="auto"/>
          <w:highlight w:val="none"/>
        </w:rPr>
      </w:pPr>
      <w:bookmarkStart w:id="12" w:name="_Toc15396602"/>
      <w:bookmarkStart w:id="13"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2"/>
      <w:bookmarkEnd w:id="13"/>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4" w:name="_Toc15396603"/>
      <w:bookmarkStart w:id="15"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6956.02</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6342.52</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103</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.8</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主要变动原因是胜利水库安全鉴定成果于2020年经水利部大坝安全管理中心核查，鉴定为“三类坝”，属于病险水库，需消除安全隐患，对大坝进行除险加固。2023年成功申报国债项目，2024年下达国债资金6300万元用于胜利水库除险加固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drawing>
          <wp:inline distT="0" distB="0" distL="114300" distR="114300">
            <wp:extent cx="4572000" cy="2743200"/>
            <wp:effectExtent l="4445" t="4445" r="14605" b="14605"/>
            <wp:docPr id="104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pStyle w:val="27"/>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1"/>
        <w:rPr>
          <w:rFonts w:hint="eastAsia" w:eastAsia="黑体"/>
          <w:color w:val="auto"/>
          <w:sz w:val="32"/>
          <w:szCs w:val="32"/>
          <w:highlight w:val="none"/>
          <w:lang w:eastAsia="zh-CN"/>
        </w:rPr>
      </w:pPr>
      <w:bookmarkStart w:id="16" w:name="_Toc15377206"/>
      <w:bookmarkStart w:id="17" w:name="_Toc15396604"/>
      <w:r>
        <w:rPr>
          <w:rFonts w:hint="eastAsia" w:ascii="Times New Roman" w:hAnsi="Times New Roman" w:eastAsia="黑体"/>
          <w:color w:val="auto"/>
          <w:sz w:val="32"/>
          <w:szCs w:val="32"/>
          <w:highlight w:val="none"/>
          <w:lang w:eastAsia="zh-CN"/>
        </w:rPr>
        <w:t>收入决算情况说</w:t>
      </w:r>
      <w:bookmarkEnd w:id="16"/>
      <w:bookmarkEnd w:id="17"/>
      <w:r>
        <w:rPr>
          <w:rFonts w:hint="eastAsia" w:eastAsia="黑体"/>
          <w:color w:val="auto"/>
          <w:sz w:val="32"/>
          <w:szCs w:val="32"/>
          <w:highlight w:val="none"/>
          <w:lang w:eastAsia="zh-CN"/>
        </w:rPr>
        <w:t>明</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6930.69万元，其中：一般公共预算财政拨款收入6872.34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99.15</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58.35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0.8</w:t>
      </w:r>
      <w:r>
        <w:rPr>
          <w:rFonts w:hint="eastAsia" w:eastAsia="仿宋_GB2312" w:cs="Times New Roman"/>
          <w:sz w:val="32"/>
          <w:szCs w:val="32"/>
          <w:lang w:val="en-US" w:eastAsia="zh-CN"/>
        </w:rPr>
        <w:t>5</w:t>
      </w:r>
      <w:r>
        <w:rPr>
          <w:rFonts w:hint="default" w:ascii="Times New Roman" w:hAnsi="Times New Roman" w:eastAsia="仿宋_GB2312" w:cs="Times New Roman"/>
          <w:color w:val="auto"/>
          <w:sz w:val="32"/>
          <w:szCs w:val="32"/>
          <w:highlight w:val="none"/>
          <w:lang w:eastAsia="zh-CN"/>
        </w:rPr>
        <w:t>%；国有资本经营预算财政拨款收入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%；上级补助收入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pPr>
        <w:ind w:firstLine="525" w:firstLineChars="250"/>
      </w:pPr>
      <w:r>
        <w:drawing>
          <wp:inline distT="0" distB="0" distL="114300" distR="114300">
            <wp:extent cx="4572635" cy="2743200"/>
            <wp:effectExtent l="4445" t="4445" r="13970" b="14605"/>
            <wp:docPr id="206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800" w:firstLineChars="250"/>
        <w:rPr>
          <w:rFonts w:hint="eastAsia"/>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8" w:name="_Toc15396605"/>
      <w:bookmarkStart w:id="19"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6956.02</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502.64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7.2</w:t>
      </w:r>
      <w:r>
        <w:rPr>
          <w:rFonts w:hint="eastAsia" w:eastAsia="仿宋_GB2312" w:cs="Times New Roman"/>
          <w:sz w:val="32"/>
          <w:szCs w:val="32"/>
          <w:lang w:val="en-US" w:eastAsia="zh-CN"/>
        </w:rPr>
        <w:t>3</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6453.3</w:t>
      </w:r>
      <w:r>
        <w:rPr>
          <w:rFonts w:hint="eastAsia" w:eastAsia="仿宋_GB2312" w:cs="Times New Roman"/>
          <w:sz w:val="32"/>
          <w:szCs w:val="32"/>
          <w:lang w:val="en-US" w:eastAsia="zh-CN"/>
        </w:rPr>
        <w:t>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92.77</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514600"/>
            <wp:effectExtent l="4445" t="4445" r="14605" b="14605"/>
            <wp:docPr id="717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800" w:firstLineChars="250"/>
        <w:rPr>
          <w:rFonts w:hint="eastAsia"/>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spacing w:line="600" w:lineRule="exact"/>
        <w:ind w:firstLine="640" w:firstLineChars="200"/>
        <w:outlineLvl w:val="1"/>
        <w:rPr>
          <w:rStyle w:val="29"/>
          <w:rFonts w:ascii="Times New Roman" w:hAnsi="Times New Roman" w:eastAsia="黑体"/>
          <w:b w:val="0"/>
          <w:color w:val="auto"/>
          <w:highlight w:val="none"/>
        </w:rPr>
      </w:pPr>
      <w:bookmarkStart w:id="20" w:name="_Toc15396606"/>
      <w:bookmarkStart w:id="21"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20"/>
      <w:bookmarkEnd w:id="21"/>
    </w:p>
    <w:p>
      <w:pPr>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6956.02</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万元。与2023年度相比，财政拨款收入总计、支出总计各增加6342.52万元，增长103</w:t>
      </w:r>
      <w:r>
        <w:rPr>
          <w:rFonts w:hint="eastAsia"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.8</w:t>
      </w:r>
      <w:r>
        <w:rPr>
          <w:rFonts w:hint="eastAsia"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%。主要变动原因是胜利水库安全鉴定成果于2020年经水利部大坝安全管理中心核查，鉴定为“三类坝 ”，属于病险水库，需消除安全隐患，对大坝进行除险加固。2023年成功申报国债项目，2024年下达国债资金6300万元用于胜利水库除险加固项目。</w:t>
      </w:r>
    </w:p>
    <w:p>
      <w:pPr>
        <w:pStyle w:val="2"/>
      </w:pPr>
      <w:r>
        <w:drawing>
          <wp:inline distT="0" distB="0" distL="114300" distR="114300">
            <wp:extent cx="4572000" cy="2743200"/>
            <wp:effectExtent l="4445" t="4445" r="14605" b="14605"/>
            <wp:docPr id="41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spacing w:line="600" w:lineRule="exact"/>
        <w:ind w:firstLine="640" w:firstLineChars="200"/>
        <w:outlineLvl w:val="1"/>
        <w:rPr>
          <w:rStyle w:val="29"/>
          <w:rFonts w:ascii="Times New Roman" w:hAnsi="Times New Roman" w:eastAsia="黑体"/>
          <w:b w:val="0"/>
          <w:color w:val="auto"/>
          <w:highlight w:val="none"/>
        </w:rPr>
      </w:pPr>
      <w:bookmarkStart w:id="22" w:name="_Toc15377209"/>
      <w:bookmarkStart w:id="23"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2"/>
      <w:bookmarkEnd w:id="23"/>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24"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4"/>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6897.67</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99.16</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%。与2023年度相比，一般公共预算财政拨款支出增加6325.01万元，增长1104.50%。主要变动原因是</w:t>
      </w:r>
      <w:r>
        <w:rPr>
          <w:rFonts w:hint="default" w:ascii="Times New Roman" w:hAnsi="Times New Roman" w:eastAsia="仿宋_GB2312" w:cs="Times New Roman"/>
          <w:color w:val="auto"/>
          <w:sz w:val="32"/>
          <w:szCs w:val="32"/>
          <w:highlight w:val="none"/>
          <w:lang w:val="en-US" w:eastAsia="zh-CN"/>
        </w:rPr>
        <w:t>2024年开展胜利水库除险加固项目，下达国债资金6300万元。</w:t>
      </w:r>
    </w:p>
    <w:p>
      <w:pPr>
        <w:spacing w:line="240" w:lineRule="auto"/>
        <w:ind w:firstLine="640"/>
      </w:pPr>
      <w:r>
        <w:drawing>
          <wp:inline distT="0" distB="0" distL="114300" distR="114300">
            <wp:extent cx="4572000" cy="2496185"/>
            <wp:effectExtent l="4445" t="4445" r="14605" b="13970"/>
            <wp:docPr id="51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5"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5"/>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6897.67</w:t>
      </w:r>
      <w:r>
        <w:rPr>
          <w:rFonts w:hint="default" w:ascii="Times New Roman" w:hAnsi="Times New Roman" w:eastAsia="仿宋_GB2312" w:cs="Times New Roman"/>
          <w:color w:val="auto"/>
          <w:kern w:val="2"/>
          <w:sz w:val="32"/>
          <w:szCs w:val="32"/>
          <w:highlight w:val="none"/>
          <w:lang w:val="en-US" w:eastAsia="zh-CN" w:bidi="ar-SA"/>
        </w:rPr>
        <w:t>万元，主要用于以下方面：一般公共服务支出1.77万元，占0.03%；社会保障和就业支出67.56万元，占0.97%；卫生健康支出27.7万元，占0.40%；住房保障支出37.34万元，占0.54%；农林水支出6763.3</w:t>
      </w:r>
      <w:r>
        <w:rPr>
          <w:rFonts w:hint="eastAsia" w:eastAsia="仿宋_GB2312" w:cs="Times New Roman"/>
          <w:color w:val="auto"/>
          <w:kern w:val="2"/>
          <w:sz w:val="32"/>
          <w:szCs w:val="32"/>
          <w:highlight w:val="none"/>
          <w:lang w:val="en-US" w:eastAsia="zh-CN" w:bidi="ar-SA"/>
        </w:rPr>
        <w:t>0万元</w:t>
      </w:r>
      <w:r>
        <w:rPr>
          <w:rFonts w:hint="default" w:ascii="Times New Roman" w:hAnsi="Times New Roman" w:eastAsia="仿宋_GB2312" w:cs="Times New Roman"/>
          <w:color w:val="auto"/>
          <w:kern w:val="2"/>
          <w:sz w:val="32"/>
          <w:szCs w:val="32"/>
          <w:highlight w:val="none"/>
          <w:lang w:val="en-US" w:eastAsia="zh-CN" w:bidi="ar-SA"/>
        </w:rPr>
        <w:t>，占98.06</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w:t>
      </w:r>
    </w:p>
    <w:p>
      <w:pPr>
        <w:spacing w:line="240" w:lineRule="auto"/>
      </w:pPr>
      <w:r>
        <w:drawing>
          <wp:inline distT="0" distB="0" distL="114300" distR="114300">
            <wp:extent cx="4011295" cy="2247265"/>
            <wp:effectExtent l="5080" t="4445" r="22225" b="15240"/>
            <wp:docPr id="61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26"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26"/>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7" w:name="_Toc15377444"/>
      <w:bookmarkStart w:id="28" w:name="_Toc15377213"/>
      <w:bookmarkStart w:id="29" w:name="_Toc15378460"/>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6897.67</w:t>
      </w:r>
      <w:r>
        <w:rPr>
          <w:rFonts w:hint="eastAsia"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27"/>
      <w:bookmarkEnd w:id="28"/>
      <w:bookmarkEnd w:id="29"/>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1.一般公共服务（类）组织事务（款）其他组织事务支出（项）：支出决算为1.77 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2.社会保障和就业支出（类）行政事业单位养老支出（款）事业单位离退休（项）: 支出决算为17.32万元，完成预算100%。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3.社会保障和就业支出（类）行政事业单位养老支出（款）机关事业单位基本养老保险缴费支出（项）：支出决算为50.24万元，完成预算100%。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4.卫生健康支出（类）行政事业单位医疗（款）事业单位医疗（项）：支出决算为24.4万元，完成预算100%。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5.卫生健康支出（类）行政事业单位医疗（款）公务员医疗补助（项）：支出决算为3.3</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6.农林水支出（类）水利（款）水利工程建设（项）：支出决算为6340万元，完成预算100%。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7.农林水支出（类）水利（款）水利工程运行与维护（项）：支出决算为423.3</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万元，完成预算100%。</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8.住房保障支出（类）住房改革支出（款）住房公积金（项）：支出决算为37.34万元，完成预算100%。</w:t>
      </w:r>
    </w:p>
    <w:p>
      <w:pPr>
        <w:tabs>
          <w:tab w:val="right" w:pos="8306"/>
        </w:tabs>
        <w:spacing w:line="600" w:lineRule="exact"/>
        <w:ind w:firstLine="640"/>
        <w:outlineLvl w:val="1"/>
        <w:rPr>
          <w:rStyle w:val="29"/>
          <w:rFonts w:ascii="Times New Roman" w:hAnsi="Times New Roman"/>
          <w:color w:val="auto"/>
          <w:highlight w:val="none"/>
        </w:rPr>
      </w:pPr>
      <w:bookmarkStart w:id="30" w:name="_Toc15377214"/>
      <w:bookmarkStart w:id="31"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30"/>
      <w:bookmarkEnd w:id="31"/>
      <w:r>
        <w:rPr>
          <w:rStyle w:val="29"/>
          <w:rFonts w:ascii="Times New Roman" w:hAnsi="Times New Roman" w:eastAsia="黑体"/>
          <w:b w:val="0"/>
          <w:color w:val="auto"/>
          <w:highlight w:val="none"/>
        </w:rPr>
        <w:tab/>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502.64</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461.48</w:t>
      </w:r>
      <w:r>
        <w:rPr>
          <w:rFonts w:hint="default" w:ascii="Times New Roman" w:hAnsi="Times New Roman" w:eastAsia="仿宋_GB2312" w:cs="Times New Roman"/>
          <w:color w:val="auto"/>
          <w:kern w:val="2"/>
          <w:sz w:val="32"/>
          <w:szCs w:val="32"/>
          <w:highlight w:val="none"/>
          <w:lang w:val="en-US" w:eastAsia="zh-CN" w:bidi="ar-SA"/>
        </w:rPr>
        <w:t>万元，主要包括：基本工资116.75万元、津贴补贴14.79万元、奖金0.75万元、绩效工资191.24万元、机关事业单位基本养老保险缴费50.2</w:t>
      </w:r>
      <w:r>
        <w:rPr>
          <w:rFonts w:hint="eastAsia"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万元、职工基本医疗保险缴费24.4</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万元、公务员医疗补助缴费6.32万元、其他社会保障缴费2.81万元、住房公积金37.3</w:t>
      </w:r>
      <w:r>
        <w:rPr>
          <w:rFonts w:hint="eastAsia"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万元、生活补助15.41万元、医疗费补助1.4万元、奖励金0.02万元。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公用经费</w:t>
      </w:r>
      <w:r>
        <w:rPr>
          <w:rFonts w:hint="default" w:ascii="Times New Roman" w:hAnsi="Times New Roman" w:eastAsia="仿宋_GB2312" w:cs="Times New Roman"/>
          <w:sz w:val="32"/>
          <w:szCs w:val="32"/>
        </w:rPr>
        <w:t>41.16</w:t>
      </w:r>
      <w:r>
        <w:rPr>
          <w:rFonts w:hint="default" w:ascii="Times New Roman" w:hAnsi="Times New Roman" w:eastAsia="仿宋_GB2312" w:cs="Times New Roman"/>
          <w:color w:val="auto"/>
          <w:kern w:val="2"/>
          <w:sz w:val="32"/>
          <w:szCs w:val="32"/>
          <w:highlight w:val="none"/>
          <w:lang w:val="en-US" w:eastAsia="zh-CN" w:bidi="ar-SA"/>
        </w:rPr>
        <w:t>万元，主要包括：办公费6.59万元、水费1.32万元、电费1.03万元、邮电费0.98万元、差旅费6.85万元、维修（护）费1.5</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万元、会议费0.2</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万元、培训费0.49万元、公务接待费0.19万元、劳务费1.5</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万元、委托业务费2.6</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万元、工会经费6.1</w:t>
      </w:r>
      <w:r>
        <w:rPr>
          <w:rFonts w:hint="eastAsia"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万元、福利费3.45万元、公务用车运行维护费4.76万元、其他交通费1.44万元、其他商品和服务支出2.16万元。</w:t>
      </w:r>
    </w:p>
    <w:p>
      <w:pPr>
        <w:spacing w:line="600" w:lineRule="exact"/>
        <w:ind w:firstLine="640"/>
        <w:outlineLvl w:val="1"/>
        <w:rPr>
          <w:rStyle w:val="29"/>
          <w:rFonts w:ascii="Times New Roman" w:hAnsi="Times New Roman" w:eastAsia="黑体"/>
          <w:b w:val="0"/>
          <w:color w:val="auto"/>
          <w:highlight w:val="none"/>
        </w:rPr>
      </w:pPr>
      <w:bookmarkStart w:id="32" w:name="_Toc15396609"/>
      <w:bookmarkStart w:id="33"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2"/>
      <w:bookmarkEnd w:id="33"/>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4"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4"/>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4.96</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%，较上年度减少0.1万元，下降1.98%。</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5"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5"/>
    </w:p>
    <w:p>
      <w:pPr>
        <w:spacing w:line="600" w:lineRule="exact"/>
        <w:ind w:firstLine="640"/>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4.7</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color w:val="auto"/>
          <w:kern w:val="2"/>
          <w:sz w:val="32"/>
          <w:szCs w:val="32"/>
          <w:highlight w:val="none"/>
          <w:lang w:val="en-US" w:eastAsia="zh-CN" w:bidi="ar-SA"/>
        </w:rPr>
        <w:t>万元，占96.17%；公务接待费支出决算</w:t>
      </w:r>
      <w:r>
        <w:rPr>
          <w:rFonts w:hint="default" w:ascii="Times New Roman" w:hAnsi="Times New Roman" w:eastAsia="仿宋_GB2312" w:cs="Times New Roman"/>
          <w:sz w:val="32"/>
          <w:szCs w:val="32"/>
        </w:rPr>
        <w:t>0.19</w:t>
      </w:r>
      <w:r>
        <w:rPr>
          <w:rFonts w:hint="default" w:ascii="Times New Roman" w:hAnsi="Times New Roman" w:eastAsia="仿宋_GB2312" w:cs="Times New Roman"/>
          <w:color w:val="auto"/>
          <w:kern w:val="2"/>
          <w:sz w:val="32"/>
          <w:szCs w:val="32"/>
          <w:highlight w:val="none"/>
          <w:lang w:val="en-US" w:eastAsia="zh-CN" w:bidi="ar-SA"/>
        </w:rPr>
        <w:t>万元，占3.83%。具体情况如下：</w:t>
      </w:r>
    </w:p>
    <w:p>
      <w:pPr>
        <w:pStyle w:val="2"/>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rPr>
          <w:rFonts w:hint="eastAsia"/>
          <w:lang w:val="en-US" w:eastAsia="zh-CN"/>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w:t>
      </w:r>
      <w:r>
        <w:rPr>
          <w:rFonts w:hint="default" w:ascii="Times New Roman" w:hAnsi="Times New Roman" w:eastAsia="仿宋_GB2312" w:cs="Times New Roman"/>
          <w:color w:val="auto"/>
          <w:sz w:val="32"/>
          <w:szCs w:val="32"/>
          <w:highlight w:val="none"/>
        </w:rPr>
        <w:t>因公出国（境）支出决算</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相比无变化。</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2.公务用车购置及运行维护费支出4.77万元，完成预算100%。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公务用车购置及运行维护费支出决算比2023年度减少0.13万元，下降2.65%。主要原因是</w:t>
      </w:r>
      <w:r>
        <w:rPr>
          <w:rFonts w:hint="default" w:ascii="Times New Roman" w:hAnsi="Times New Roman" w:eastAsia="仿宋_GB2312" w:cs="Times New Roman"/>
          <w:color w:val="auto"/>
          <w:sz w:val="32"/>
          <w:szCs w:val="32"/>
          <w:highlight w:val="none"/>
        </w:rPr>
        <w:t>进一步加强</w:t>
      </w:r>
      <w:r>
        <w:rPr>
          <w:rFonts w:hint="default" w:ascii="Times New Roman" w:hAnsi="Times New Roman" w:eastAsia="仿宋_GB2312" w:cs="Times New Roman"/>
          <w:color w:val="auto"/>
          <w:sz w:val="32"/>
          <w:szCs w:val="32"/>
          <w:highlight w:val="none"/>
          <w:lang w:val="en-US" w:eastAsia="zh-CN"/>
        </w:rPr>
        <w:t>了</w:t>
      </w:r>
      <w:r>
        <w:rPr>
          <w:rFonts w:hint="default" w:ascii="Times New Roman" w:hAnsi="Times New Roman" w:eastAsia="仿宋_GB2312" w:cs="Times New Roman"/>
          <w:color w:val="auto"/>
          <w:sz w:val="32"/>
          <w:szCs w:val="32"/>
          <w:highlight w:val="none"/>
        </w:rPr>
        <w:t>公务用车管理,</w:t>
      </w:r>
      <w:r>
        <w:rPr>
          <w:rFonts w:hint="default" w:ascii="Times New Roman" w:hAnsi="Times New Roman" w:eastAsia="仿宋_GB2312" w:cs="Times New Roman"/>
          <w:color w:val="auto"/>
          <w:sz w:val="32"/>
          <w:szCs w:val="32"/>
          <w:highlight w:val="none"/>
          <w:lang w:val="en-US" w:eastAsia="zh-CN"/>
        </w:rPr>
        <w:t>坚持</w:t>
      </w:r>
      <w:r>
        <w:rPr>
          <w:rFonts w:hint="default" w:ascii="Times New Roman" w:hAnsi="Times New Roman" w:eastAsia="仿宋_GB2312" w:cs="Times New Roman"/>
          <w:color w:val="auto"/>
          <w:sz w:val="32"/>
          <w:szCs w:val="32"/>
          <w:highlight w:val="none"/>
        </w:rPr>
        <w:t>节俭高效的原则,减少费用支出。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万元。全年按规定更新购置公务用车0辆，其中：轿车0辆、金额0万元，越野车0辆、金额0万元，载客汽车0辆、金额0万元。截至2024年12月31日，单位共有公务用车3辆，其中：轿车1辆、皮卡车2辆。</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color w:val="auto"/>
          <w:sz w:val="32"/>
          <w:szCs w:val="32"/>
        </w:rPr>
        <w:t>4.7</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auto"/>
          <w:sz w:val="32"/>
          <w:szCs w:val="32"/>
          <w:highlight w:val="none"/>
        </w:rPr>
        <w:t>主要用于</w:t>
      </w:r>
      <w:r>
        <w:rPr>
          <w:rFonts w:hint="default" w:ascii="Times New Roman" w:hAnsi="Times New Roman" w:eastAsia="仿宋_GB2312" w:cs="Times New Roman"/>
          <w:color w:val="auto"/>
          <w:sz w:val="32"/>
          <w:szCs w:val="32"/>
          <w:highlight w:val="none"/>
          <w:lang w:val="en-US" w:eastAsia="zh-CN"/>
        </w:rPr>
        <w:t>胜利水库、沙坝田水库工程及渠道检查、森林草原防灭火督导等所需</w:t>
      </w:r>
      <w:r>
        <w:rPr>
          <w:rFonts w:hint="default" w:ascii="Times New Roman" w:hAnsi="Times New Roman" w:eastAsia="仿宋_GB2312" w:cs="Times New Roman"/>
          <w:color w:val="auto"/>
          <w:sz w:val="32"/>
          <w:szCs w:val="32"/>
          <w:highlight w:val="none"/>
        </w:rPr>
        <w:t>的公务用车燃料费、维修费、过路过桥费、保险费等支出。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3.公务接待费支出0.19万元，完成预算100%。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公务接待费支出决算比2023年度增加0.03万元，增长</w:t>
      </w:r>
      <w:r>
        <w:rPr>
          <w:rFonts w:hint="eastAsia" w:eastAsia="仿宋_GB2312" w:cs="Times New Roman"/>
          <w:color w:val="auto"/>
          <w:kern w:val="2"/>
          <w:sz w:val="32"/>
          <w:szCs w:val="32"/>
          <w:highlight w:val="none"/>
          <w:lang w:val="en-US" w:eastAsia="zh-CN" w:bidi="ar-SA"/>
        </w:rPr>
        <w:t>18.75</w:t>
      </w:r>
      <w:r>
        <w:rPr>
          <w:rFonts w:hint="default" w:ascii="Times New Roman" w:hAnsi="Times New Roman" w:eastAsia="仿宋_GB2312" w:cs="Times New Roman"/>
          <w:color w:val="auto"/>
          <w:kern w:val="2"/>
          <w:sz w:val="32"/>
          <w:szCs w:val="32"/>
          <w:highlight w:val="none"/>
          <w:lang w:val="en-US" w:eastAsia="zh-CN" w:bidi="ar-SA"/>
        </w:rPr>
        <w:t>%。其中：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0.19</w:t>
      </w:r>
      <w:r>
        <w:rPr>
          <w:rFonts w:hint="default" w:ascii="Times New Roman" w:hAnsi="Times New Roman" w:eastAsia="仿宋_GB2312" w:cs="Times New Roman"/>
          <w:color w:val="auto"/>
          <w:kern w:val="2"/>
          <w:sz w:val="32"/>
          <w:szCs w:val="32"/>
          <w:highlight w:val="none"/>
          <w:lang w:val="en-US" w:eastAsia="zh-CN" w:bidi="ar-SA"/>
        </w:rPr>
        <w:t>万元，主要用于执行公务、开展业务活动开支的交通费、住宿费、用餐费等。国内公务接待</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14</w:t>
      </w:r>
      <w:r>
        <w:rPr>
          <w:rFonts w:hint="default" w:ascii="Times New Roman" w:hAnsi="Times New Roman" w:eastAsia="仿宋_GB2312" w:cs="Times New Roman"/>
          <w:color w:val="auto"/>
          <w:kern w:val="2"/>
          <w:sz w:val="32"/>
          <w:szCs w:val="32"/>
          <w:highlight w:val="none"/>
          <w:lang w:val="en-US" w:eastAsia="zh-CN" w:bidi="ar-SA"/>
        </w:rPr>
        <w:t>人次（不包括陪同人员），共计支出0.</w:t>
      </w:r>
      <w:r>
        <w:rPr>
          <w:rFonts w:hint="eastAsia" w:eastAsia="仿宋_GB2312" w:cs="Times New Roman"/>
          <w:color w:val="auto"/>
          <w:kern w:val="2"/>
          <w:sz w:val="32"/>
          <w:szCs w:val="32"/>
          <w:highlight w:val="none"/>
          <w:lang w:val="en-US" w:eastAsia="zh-CN" w:bidi="ar-SA"/>
        </w:rPr>
        <w:t>19</w:t>
      </w:r>
      <w:r>
        <w:rPr>
          <w:rFonts w:hint="default" w:ascii="Times New Roman" w:hAnsi="Times New Roman" w:eastAsia="仿宋_GB2312" w:cs="Times New Roman"/>
          <w:color w:val="auto"/>
          <w:kern w:val="2"/>
          <w:sz w:val="32"/>
          <w:szCs w:val="32"/>
          <w:highlight w:val="none"/>
          <w:lang w:val="en-US" w:eastAsia="zh-CN" w:bidi="ar-SA"/>
        </w:rPr>
        <w:t>万元，具体内容包括：省级核查组2023年增发国债水利项目现场核查接待费0.</w:t>
      </w:r>
      <w:r>
        <w:rPr>
          <w:rFonts w:hint="eastAsia" w:eastAsia="仿宋_GB2312" w:cs="Times New Roman"/>
          <w:color w:val="auto"/>
          <w:kern w:val="2"/>
          <w:sz w:val="32"/>
          <w:szCs w:val="32"/>
          <w:highlight w:val="none"/>
          <w:lang w:val="en-US" w:eastAsia="zh-CN" w:bidi="ar-SA"/>
        </w:rPr>
        <w:t>19</w:t>
      </w:r>
      <w:r>
        <w:rPr>
          <w:rFonts w:hint="default" w:ascii="Times New Roman" w:hAnsi="Times New Roman" w:eastAsia="仿宋_GB2312" w:cs="Times New Roman"/>
          <w:color w:val="auto"/>
          <w:kern w:val="2"/>
          <w:sz w:val="32"/>
          <w:szCs w:val="32"/>
          <w:highlight w:val="none"/>
          <w:lang w:val="en-US" w:eastAsia="zh-CN" w:bidi="ar-SA"/>
        </w:rPr>
        <w:t>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bookmarkStart w:id="36" w:name="_Toc15396610"/>
      <w:bookmarkStart w:id="37" w:name="_Toc15377218"/>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6"/>
      <w:bookmarkEnd w:id="3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58.35</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0.83</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%。与2023年度相比，政府性基金预算财政拨款支出增加17.51万元，增长42.87%。主要变动原因是2024年年中追加政府性基金用于支付胜利水库水资源保护涵养林项目款、胜利水库水源地巡查道路硬化工程款等。</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38" w:name="_Toc15377219"/>
      <w:bookmarkStart w:id="39"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8"/>
      <w:bookmarkEnd w:id="39"/>
    </w:p>
    <w:p>
      <w:pPr>
        <w:numPr>
          <w:ilvl w:val="0"/>
          <w:numId w:val="0"/>
        </w:numPr>
        <w:spacing w:line="600" w:lineRule="exact"/>
        <w:ind w:firstLine="640" w:firstLineChars="200"/>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2024年度国有资本经营预算财政拨款支出0万元，占本年支出合计的0%。</w:t>
      </w:r>
      <w:bookmarkStart w:id="40" w:name="_Toc15377221"/>
      <w:bookmarkStart w:id="41" w:name="_Toc15396612"/>
      <w:r>
        <w:rPr>
          <w:rFonts w:hint="default" w:ascii="Times New Roman" w:hAnsi="Times New Roman" w:eastAsia="仿宋_GB2312" w:cs="Times New Roman"/>
          <w:color w:val="auto"/>
          <w:kern w:val="2"/>
          <w:sz w:val="32"/>
          <w:szCs w:val="32"/>
          <w:highlight w:val="none"/>
          <w:lang w:val="en-US" w:eastAsia="zh-CN" w:bidi="ar-SA"/>
        </w:rPr>
        <w:t>国有资本经营预算支出决算与2023年相比无变化。</w:t>
      </w:r>
    </w:p>
    <w:p>
      <w:pPr>
        <w:numPr>
          <w:ilvl w:val="0"/>
          <w:numId w:val="0"/>
        </w:numPr>
        <w:spacing w:line="600" w:lineRule="exact"/>
        <w:ind w:left="630" w:leftChars="0"/>
        <w:outlineLvl w:val="1"/>
        <w:rPr>
          <w:rStyle w:val="29"/>
          <w:rFonts w:hint="default" w:ascii="Times New Roman" w:hAnsi="Times New Roman" w:eastAsia="黑体"/>
          <w:b w:val="0"/>
          <w:color w:val="auto"/>
          <w:highlight w:val="none"/>
          <w:lang w:val="en-US" w:eastAsia="zh-CN"/>
        </w:rPr>
      </w:pPr>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40"/>
      <w:bookmarkEnd w:id="41"/>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2" w:name="_Toc15377222"/>
      <w:r>
        <w:rPr>
          <w:rFonts w:hint="default" w:ascii="Times New Roman" w:hAnsi="Times New Roman" w:eastAsia="楷体_GB2312" w:cs="Times New Roman"/>
          <w:b/>
          <w:color w:val="auto"/>
          <w:sz w:val="32"/>
          <w:szCs w:val="32"/>
          <w:highlight w:val="none"/>
        </w:rPr>
        <w:t>（一）机关运行经费支出情况</w:t>
      </w:r>
      <w:bookmarkEnd w:id="4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四川省攀枝花市胜利水利工程运行中心</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万元。主要原因是</w:t>
      </w:r>
      <w:r>
        <w:rPr>
          <w:rFonts w:hint="default" w:ascii="Times New Roman" w:hAnsi="Times New Roman" w:eastAsia="仿宋_GB2312" w:cs="Times New Roman"/>
          <w:color w:val="auto"/>
          <w:sz w:val="32"/>
          <w:szCs w:val="32"/>
          <w:highlight w:val="none"/>
          <w:lang w:val="en-US" w:eastAsia="zh-CN"/>
        </w:rPr>
        <w:t>我单位为事业单位，无</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eastAsia="zh-CN"/>
        </w:rPr>
        <w:t>。</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3" w:name="_Toc15377223"/>
      <w:r>
        <w:rPr>
          <w:rFonts w:hint="default" w:ascii="Times New Roman" w:hAnsi="Times New Roman" w:eastAsia="楷体_GB2312" w:cs="Times New Roman"/>
          <w:b/>
          <w:color w:val="auto"/>
          <w:sz w:val="32"/>
          <w:szCs w:val="32"/>
          <w:highlight w:val="none"/>
        </w:rPr>
        <w:t>（二）政府采购支出情况</w:t>
      </w:r>
      <w:bookmarkEnd w:id="4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四川省攀枝花市胜利水利工程运行中心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3.1</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3.1</w:t>
      </w:r>
      <w:r>
        <w:rPr>
          <w:rFonts w:hint="default" w:ascii="Times New Roman" w:hAnsi="Times New Roman" w:eastAsia="仿宋_GB2312" w:cs="Times New Roman"/>
          <w:color w:val="auto"/>
          <w:kern w:val="2"/>
          <w:sz w:val="32"/>
          <w:szCs w:val="32"/>
          <w:highlight w:val="none"/>
          <w:lang w:val="en-US" w:eastAsia="zh-CN" w:bidi="ar-SA"/>
        </w:rPr>
        <w:t>万元。主要用于公务车日常维修保养、加油、购买保险等。授予中小企业合同金额</w:t>
      </w:r>
      <w:r>
        <w:rPr>
          <w:rFonts w:hint="default" w:ascii="Times New Roman" w:hAnsi="Times New Roman" w:eastAsia="仿宋_GB2312" w:cs="Times New Roman"/>
          <w:sz w:val="32"/>
          <w:szCs w:val="32"/>
        </w:rPr>
        <w:t>2.31</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74.58</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0.88</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28.39</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4" w:name="_Toc15377224"/>
      <w:r>
        <w:rPr>
          <w:rFonts w:hint="default" w:ascii="Times New Roman" w:hAnsi="Times New Roman" w:eastAsia="楷体_GB2312" w:cs="Times New Roman"/>
          <w:b/>
          <w:color w:val="auto"/>
          <w:sz w:val="32"/>
          <w:szCs w:val="32"/>
          <w:highlight w:val="none"/>
        </w:rPr>
        <w:t>（三）国有资产占有使用情况</w:t>
      </w:r>
      <w:bookmarkEnd w:id="44"/>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四川省攀枝花市胜利水利工程运行中心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w:t>
      </w:r>
      <w:r>
        <w:rPr>
          <w:rFonts w:hint="default" w:ascii="Times New Roman" w:hAnsi="Times New Roman" w:eastAsia="仿宋_GB2312" w:cs="Times New Roman"/>
          <w:color w:val="auto"/>
          <w:sz w:val="32"/>
          <w:szCs w:val="32"/>
          <w:highlight w:val="none"/>
          <w:lang w:val="en-US" w:eastAsia="zh-CN"/>
        </w:rPr>
        <w:t>特种专业技术用车2辆、</w:t>
      </w:r>
      <w:r>
        <w:rPr>
          <w:rFonts w:hint="default" w:ascii="Times New Roman" w:hAnsi="Times New Roman" w:eastAsia="仿宋_GB2312" w:cs="Times New Roman"/>
          <w:color w:val="auto"/>
          <w:kern w:val="2"/>
          <w:sz w:val="32"/>
          <w:szCs w:val="32"/>
          <w:highlight w:val="none"/>
          <w:lang w:val="en-US" w:eastAsia="zh-CN" w:bidi="ar-SA"/>
        </w:rPr>
        <w:t>其他用车</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辆，其他用车主要是用于</w:t>
      </w:r>
      <w:r>
        <w:rPr>
          <w:rFonts w:hint="default" w:ascii="Times New Roman" w:hAnsi="Times New Roman" w:eastAsia="仿宋_GB2312" w:cs="Times New Roman"/>
          <w:color w:val="auto"/>
          <w:sz w:val="32"/>
          <w:szCs w:val="32"/>
          <w:highlight w:val="none"/>
          <w:lang w:val="en-US" w:eastAsia="zh-CN"/>
        </w:rPr>
        <w:t>胜利水库、沙坝田水库工程及渠道检查</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我单位在2024年度预算编制阶段，组织对胜利水库除险加固项目、水库运行管理经费、灌区计量监测视频监控及闸门自动化设施建设安装、沙坝田水库维修养护经费等11个项目开展了预算事前绩效评估，对11个项目编制了绩效目标，预算执行过程中，选取11个项目开展绩效监控。</w:t>
      </w:r>
    </w:p>
    <w:p>
      <w:pPr>
        <w:spacing w:line="600" w:lineRule="exact"/>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5" w:name="_Toc15377225"/>
      <w:bookmarkStart w:id="46" w:name="_Toc15396613"/>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numPr>
          <w:ilvl w:val="0"/>
          <w:numId w:val="0"/>
        </w:numPr>
        <w:spacing w:line="600" w:lineRule="exact"/>
        <w:jc w:val="both"/>
        <w:outlineLvl w:val="0"/>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5"/>
      <w:bookmarkEnd w:id="46"/>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2.年初结转和结余：指以前年度尚未完成、结转到本年按有关规定继续使用的资金。</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spacing w:line="600" w:lineRule="exact"/>
        <w:ind w:firstLine="640"/>
        <w:rPr>
          <w:rFonts w:hint="eastAsia"/>
          <w:lang w:val="en-US" w:eastAsia="zh-CN"/>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w:t>
      </w:r>
      <w:r>
        <w:rPr>
          <w:rFonts w:hint="eastAsia" w:eastAsia="仿宋_GB2312" w:cs="仿宋_GB2312"/>
          <w:color w:val="auto"/>
          <w:kern w:val="2"/>
          <w:sz w:val="32"/>
          <w:szCs w:val="32"/>
          <w:highlight w:val="none"/>
          <w:lang w:val="en-US" w:eastAsia="zh-CN" w:bidi="ar-SA"/>
        </w:rPr>
        <w:t>运行维护费用</w:t>
      </w:r>
      <w:r>
        <w:rPr>
          <w:rFonts w:hint="eastAsia" w:ascii="Times New Roman" w:hAnsi="Times New Roman" w:eastAsia="仿宋_GB2312" w:cs="仿宋_GB2312"/>
          <w:color w:val="auto"/>
          <w:kern w:val="2"/>
          <w:sz w:val="32"/>
          <w:szCs w:val="32"/>
          <w:highlight w:val="none"/>
          <w:lang w:val="en-US" w:eastAsia="zh-CN" w:bidi="ar-SA"/>
        </w:rPr>
        <w:t>和公务接待费。其中，因公出国（境）费反映单位公务出国（境）的国际旅费、国外城市间交通费、住宿费、伙食费、培训费、公杂费等支出；公务用车</w:t>
      </w:r>
      <w:r>
        <w:rPr>
          <w:rFonts w:hint="eastAsia" w:eastAsia="仿宋_GB2312" w:cs="仿宋_GB2312"/>
          <w:color w:val="auto"/>
          <w:kern w:val="2"/>
          <w:sz w:val="32"/>
          <w:szCs w:val="32"/>
          <w:highlight w:val="none"/>
          <w:lang w:val="en-US" w:eastAsia="zh-CN" w:bidi="ar-SA"/>
        </w:rPr>
        <w:t>运行维护费</w:t>
      </w:r>
      <w:r>
        <w:rPr>
          <w:rFonts w:hint="eastAsia" w:ascii="Times New Roman" w:hAnsi="Times New Roman" w:eastAsia="仿宋_GB2312" w:cs="仿宋_GB2312"/>
          <w:color w:val="auto"/>
          <w:kern w:val="2"/>
          <w:sz w:val="32"/>
          <w:szCs w:val="32"/>
          <w:highlight w:val="none"/>
          <w:lang w:val="en-US" w:eastAsia="zh-CN" w:bidi="ar-SA"/>
        </w:rPr>
        <w:t>反映单位</w:t>
      </w:r>
      <w:r>
        <w:rPr>
          <w:rFonts w:hint="eastAsia" w:eastAsia="仿宋_GB2312" w:cs="仿宋_GB2312"/>
          <w:color w:val="auto"/>
          <w:kern w:val="2"/>
          <w:sz w:val="32"/>
          <w:szCs w:val="32"/>
          <w:highlight w:val="none"/>
          <w:lang w:val="en-US" w:eastAsia="zh-CN" w:bidi="ar-SA"/>
        </w:rPr>
        <w:t>按规定保留的公务用车燃料费、维修费、保险费、安全奖励费用等支出</w:t>
      </w:r>
      <w:r>
        <w:rPr>
          <w:rFonts w:hint="eastAsia" w:ascii="Times New Roman" w:hAnsi="Times New Roman" w:eastAsia="仿宋_GB2312" w:cs="仿宋_GB2312"/>
          <w:color w:val="auto"/>
          <w:kern w:val="2"/>
          <w:sz w:val="32"/>
          <w:szCs w:val="32"/>
          <w:highlight w:val="none"/>
          <w:lang w:val="en-US" w:eastAsia="zh-CN" w:bidi="ar-SA"/>
        </w:rPr>
        <w:t>；公务接待费反映单位按规定开支的各类公务接待（含外宾接待）</w:t>
      </w:r>
      <w:r>
        <w:rPr>
          <w:rFonts w:hint="eastAsia" w:eastAsia="仿宋_GB2312" w:cs="仿宋_GB2312"/>
          <w:color w:val="auto"/>
          <w:kern w:val="2"/>
          <w:sz w:val="32"/>
          <w:szCs w:val="32"/>
          <w:highlight w:val="none"/>
          <w:lang w:val="en-US" w:eastAsia="zh-CN" w:bidi="ar-SA"/>
        </w:rPr>
        <w:t>费用</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一般公共服务（类）</w:t>
      </w:r>
      <w:r>
        <w:rPr>
          <w:rFonts w:hint="default" w:ascii="Times New Roman" w:hAnsi="Times New Roman" w:eastAsia="仿宋_GB2312" w:cs="Times New Roman"/>
          <w:color w:val="auto"/>
          <w:sz w:val="32"/>
          <w:szCs w:val="32"/>
          <w:highlight w:val="none"/>
          <w:lang w:val="en-US" w:eastAsia="zh-CN"/>
        </w:rPr>
        <w:t>组织事务</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val="en-US" w:eastAsia="zh-CN"/>
        </w:rPr>
        <w:t>其他组织事务支出</w:t>
      </w:r>
      <w:r>
        <w:rPr>
          <w:rFonts w:hint="default" w:ascii="Times New Roman" w:hAnsi="Times New Roman" w:eastAsia="仿宋_GB2312" w:cs="Times New Roman"/>
          <w:color w:val="auto"/>
          <w:sz w:val="32"/>
          <w:szCs w:val="32"/>
          <w:highlight w:val="none"/>
        </w:rPr>
        <w:t>（项）：指</w:t>
      </w:r>
      <w:r>
        <w:rPr>
          <w:rFonts w:hint="default" w:ascii="Times New Roman" w:hAnsi="Times New Roman" w:eastAsia="仿宋_GB2312" w:cs="Times New Roman"/>
          <w:color w:val="auto"/>
          <w:sz w:val="32"/>
          <w:szCs w:val="32"/>
          <w:highlight w:val="none"/>
          <w:lang w:val="en-US" w:eastAsia="zh-CN"/>
        </w:rPr>
        <w:t>其他用于中国共产党组织部门的事务支出</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rPr>
        <w:t>社会保障和就业（类）</w:t>
      </w:r>
      <w:r>
        <w:rPr>
          <w:rFonts w:hint="default" w:ascii="Times New Roman" w:hAnsi="Times New Roman" w:eastAsia="仿宋_GB2312" w:cs="Times New Roman"/>
          <w:color w:val="auto"/>
          <w:sz w:val="32"/>
          <w:szCs w:val="32"/>
          <w:highlight w:val="none"/>
          <w:lang w:val="en-US" w:eastAsia="zh-CN"/>
        </w:rPr>
        <w:t>行政事业单位养老支出</w:t>
      </w:r>
      <w:r>
        <w:rPr>
          <w:rFonts w:hint="default" w:ascii="Times New Roman" w:hAnsi="Times New Roman" w:eastAsia="仿宋_GB2312" w:cs="Times New Roman"/>
          <w:color w:val="auto"/>
          <w:sz w:val="32"/>
          <w:szCs w:val="32"/>
          <w:highlight w:val="none"/>
        </w:rPr>
        <w:t>（款）</w:t>
      </w:r>
    </w:p>
    <w:p>
      <w:pPr>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事业单位离退休支出（项）</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事业单位开支的离退休经费</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rPr>
        <w:t>社会保障和就业（类）</w:t>
      </w:r>
      <w:r>
        <w:rPr>
          <w:rFonts w:hint="default" w:ascii="Times New Roman" w:hAnsi="Times New Roman" w:eastAsia="仿宋_GB2312" w:cs="Times New Roman"/>
          <w:color w:val="auto"/>
          <w:sz w:val="32"/>
          <w:szCs w:val="32"/>
          <w:highlight w:val="none"/>
          <w:lang w:val="en-US" w:eastAsia="zh-CN"/>
        </w:rPr>
        <w:t>行政事业单位养老支出</w:t>
      </w:r>
      <w:r>
        <w:rPr>
          <w:rFonts w:hint="default" w:ascii="Times New Roman" w:hAnsi="Times New Roman" w:eastAsia="仿宋_GB2312" w:cs="Times New Roman"/>
          <w:color w:val="auto"/>
          <w:sz w:val="32"/>
          <w:szCs w:val="32"/>
          <w:highlight w:val="none"/>
        </w:rPr>
        <w:t>（款）</w:t>
      </w:r>
    </w:p>
    <w:p>
      <w:pPr>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机关事业单位养老保险缴费支出</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val="en-US" w:eastAsia="zh-CN"/>
        </w:rPr>
        <w:t>指机关事业单位实施养老保险制度由单位缴纳的基本养老保险支出。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 xml:space="preserve">. </w:t>
      </w:r>
      <w:r>
        <w:rPr>
          <w:rFonts w:hint="eastAsia" w:eastAsia="仿宋_GB2312" w:cs="仿宋_GB2312"/>
          <w:color w:val="auto"/>
          <w:kern w:val="2"/>
          <w:sz w:val="32"/>
          <w:szCs w:val="32"/>
          <w:highlight w:val="none"/>
          <w:lang w:val="en-US" w:eastAsia="zh-CN" w:bidi="ar-SA"/>
        </w:rPr>
        <w:t>卫生健康支出（类）行政事业单位医疗（款）事业单位医疗（项）：指财政部门安排的事业单位基本医疗保险缴费经费，未参加医疗保险的事业单位的公费医疗经费，按国家规定享受离休人员待遇的医疗经费。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卫生健康支出（类）行政事业单位医疗（款）公务员医疗补助（项）：指财政部门安排的公务员医疗补助经费。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农林水支出（类）水利（款）水利工程建设（项）：指水利系统用于江、河、湖、滩等水利工程建设支出，包括堤防、河道、水库、水利枢纽、涵闸、灌区、供水、蓄滞洪区等水利工程及其附属设备、设施的建设、改造更新、病险水库除险加固、大型灌区改造、农村电气化建设等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农林水</w:t>
      </w:r>
      <w:r>
        <w:rPr>
          <w:rFonts w:hint="eastAsia" w:eastAsia="仿宋_GB2312" w:cs="Times New Roman"/>
          <w:color w:val="auto"/>
          <w:sz w:val="32"/>
          <w:szCs w:val="32"/>
          <w:highlight w:val="none"/>
          <w:lang w:val="en-US" w:eastAsia="zh-CN"/>
        </w:rPr>
        <w:t>支出</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val="en-US" w:eastAsia="zh-CN"/>
        </w:rPr>
        <w:t>水利</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val="en-US" w:eastAsia="zh-CN"/>
        </w:rPr>
        <w:t>水利工程运行与维护</w:t>
      </w:r>
      <w:r>
        <w:rPr>
          <w:rFonts w:hint="default" w:ascii="Times New Roman" w:hAnsi="Times New Roman" w:eastAsia="仿宋_GB2312" w:cs="Times New Roman"/>
          <w:color w:val="auto"/>
          <w:sz w:val="32"/>
          <w:szCs w:val="32"/>
          <w:highlight w:val="none"/>
        </w:rPr>
        <w:t>（项）：指</w:t>
      </w:r>
      <w:r>
        <w:rPr>
          <w:rFonts w:hint="default" w:ascii="Times New Roman" w:hAnsi="Times New Roman" w:eastAsia="仿宋_GB2312" w:cs="Times New Roman"/>
          <w:color w:val="auto"/>
          <w:sz w:val="32"/>
          <w:szCs w:val="32"/>
          <w:highlight w:val="none"/>
          <w:lang w:val="en-US" w:eastAsia="zh-CN"/>
        </w:rPr>
        <w:t>水利系统用于江、河、湖、滩等治理工程运行与维护方面的支出，</w:t>
      </w:r>
      <w:r>
        <w:rPr>
          <w:rFonts w:hint="eastAsia" w:ascii="Times New Roman" w:hAnsi="Times New Roman" w:eastAsia="仿宋_GB2312" w:cs="Times New Roman"/>
          <w:color w:val="auto"/>
          <w:sz w:val="32"/>
          <w:szCs w:val="32"/>
          <w:highlight w:val="none"/>
          <w:lang w:val="en-US" w:eastAsia="zh-CN"/>
        </w:rPr>
        <w:t>以及</w:t>
      </w:r>
      <w:r>
        <w:rPr>
          <w:rFonts w:hint="default" w:ascii="Times New Roman" w:hAnsi="Times New Roman" w:eastAsia="仿宋_GB2312" w:cs="Times New Roman"/>
          <w:color w:val="auto"/>
          <w:sz w:val="32"/>
          <w:szCs w:val="32"/>
          <w:highlight w:val="none"/>
          <w:lang w:val="en-US" w:eastAsia="zh-CN"/>
        </w:rPr>
        <w:t>纳入预算管理的水利工程管理单位的支出</w:t>
      </w:r>
      <w:r>
        <w:rPr>
          <w:rFonts w:hint="default" w:ascii="Times New Roman" w:hAnsi="Times New Roman" w:eastAsia="仿宋_GB2312" w:cs="Times New Roman"/>
          <w:color w:val="auto"/>
          <w:sz w:val="32"/>
          <w:szCs w:val="32"/>
          <w:highlight w:val="none"/>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住房保障（类）</w:t>
      </w:r>
      <w:r>
        <w:rPr>
          <w:rFonts w:hint="default" w:ascii="Times New Roman" w:hAnsi="Times New Roman" w:eastAsia="仿宋_GB2312" w:cs="Times New Roman"/>
          <w:color w:val="auto"/>
          <w:sz w:val="32"/>
          <w:szCs w:val="32"/>
          <w:highlight w:val="none"/>
          <w:lang w:val="en-US" w:eastAsia="zh-CN"/>
        </w:rPr>
        <w:t>住房改革支出</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val="en-US" w:eastAsia="zh-CN"/>
        </w:rPr>
        <w:t>住房公积金</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val="en-US" w:eastAsia="zh-CN"/>
        </w:rPr>
        <w:t>指行政事业单位按</w:t>
      </w:r>
      <w:r>
        <w:rPr>
          <w:rFonts w:hint="eastAsia" w:ascii="Times New Roman" w:hAnsi="Times New Roman" w:eastAsia="仿宋_GB2312" w:cs="Times New Roman"/>
          <w:color w:val="auto"/>
          <w:sz w:val="32"/>
          <w:szCs w:val="32"/>
          <w:highlight w:val="none"/>
          <w:lang w:val="en-US" w:eastAsia="zh-CN"/>
        </w:rPr>
        <w:t>人力资源和社会保障部、</w:t>
      </w:r>
      <w:r>
        <w:rPr>
          <w:rFonts w:hint="default" w:ascii="Times New Roman" w:hAnsi="Times New Roman" w:eastAsia="仿宋_GB2312" w:cs="Times New Roman"/>
          <w:color w:val="auto"/>
          <w:sz w:val="32"/>
          <w:szCs w:val="32"/>
          <w:highlight w:val="none"/>
          <w:lang w:val="en-US" w:eastAsia="zh-CN"/>
        </w:rPr>
        <w:t>财政部规定的基本工资和津贴补贴以及规定比例为职工缴纳的住房公积金</w:t>
      </w:r>
      <w:r>
        <w:rPr>
          <w:rFonts w:hint="default" w:ascii="Times New Roman" w:hAnsi="Times New Roman" w:eastAsia="仿宋_GB2312" w:cs="Times New Roman"/>
          <w:color w:val="auto"/>
          <w:sz w:val="32"/>
          <w:szCs w:val="32"/>
          <w:highlight w:val="none"/>
        </w:rPr>
        <w:t>。</w:t>
      </w:r>
    </w:p>
    <w:p>
      <w:pPr>
        <w:spacing w:line="600" w:lineRule="exact"/>
        <w:jc w:val="center"/>
        <w:rPr>
          <w:rFonts w:hint="eastAsia" w:ascii="Times New Roman" w:hAnsi="Times New Roman" w:eastAsia="黑体"/>
          <w:color w:val="auto"/>
          <w:sz w:val="44"/>
          <w:szCs w:val="44"/>
          <w:highlight w:val="none"/>
        </w:rPr>
      </w:pPr>
      <w:bookmarkStart w:id="47" w:name="_Toc15396614"/>
      <w:bookmarkStart w:id="48" w:name="_Toc15377226"/>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pStyle w:val="2"/>
        <w:rPr>
          <w:rFonts w:hint="eastAsia"/>
        </w:rPr>
      </w:pPr>
    </w:p>
    <w:p>
      <w:pPr>
        <w:pStyle w:val="2"/>
        <w:rPr>
          <w:rFonts w:hint="eastAsia"/>
        </w:rPr>
      </w:pPr>
    </w:p>
    <w:p>
      <w:pPr>
        <w:numPr>
          <w:ilvl w:val="0"/>
          <w:numId w:val="2"/>
        </w:numPr>
        <w:spacing w:line="600" w:lineRule="exact"/>
        <w:jc w:val="center"/>
        <w:rPr>
          <w:rFonts w:hint="eastAsia" w:eastAsia="黑体"/>
          <w:color w:val="auto"/>
          <w:sz w:val="44"/>
          <w:szCs w:val="44"/>
          <w:highlight w:val="none"/>
          <w:lang w:val="en-US" w:eastAsia="zh-CN"/>
        </w:rPr>
      </w:pPr>
      <w:r>
        <w:rPr>
          <w:rFonts w:hint="eastAsia" w:eastAsia="黑体"/>
          <w:color w:val="auto"/>
          <w:sz w:val="44"/>
          <w:szCs w:val="44"/>
          <w:highlight w:val="none"/>
          <w:lang w:val="en-US" w:eastAsia="zh-CN"/>
        </w:rPr>
        <w:t>附件</w:t>
      </w:r>
    </w:p>
    <w:p>
      <w:pPr>
        <w:pStyle w:val="2"/>
        <w:numPr>
          <w:ilvl w:val="0"/>
          <w:numId w:val="0"/>
        </w:numPr>
        <w:rPr>
          <w:rFonts w:hint="default"/>
          <w:lang w:val="en-US" w:eastAsia="zh-CN"/>
        </w:rPr>
      </w:pPr>
    </w:p>
    <w:p>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部门预算项目支出绩效自评表（</w:t>
      </w:r>
      <w:r>
        <w:rPr>
          <w:rFonts w:hint="eastAsia" w:ascii="仿宋_GB2312" w:hAnsi="仿宋_GB2312" w:eastAsia="仿宋_GB2312" w:cs="仿宋_GB2312"/>
          <w:color w:val="auto"/>
          <w:sz w:val="32"/>
          <w:szCs w:val="32"/>
          <w:highlight w:val="none"/>
          <w:lang w:val="en-US" w:eastAsia="zh-CN"/>
        </w:rPr>
        <w:t>2024年度</w:t>
      </w:r>
      <w:r>
        <w:rPr>
          <w:rFonts w:hint="eastAsia" w:ascii="仿宋_GB2312" w:hAnsi="仿宋_GB2312" w:eastAsia="仿宋_GB2312" w:cs="仿宋_GB2312"/>
          <w:color w:val="auto"/>
          <w:sz w:val="32"/>
          <w:szCs w:val="32"/>
          <w:highlight w:val="none"/>
          <w:lang w:eastAsia="zh-CN"/>
        </w:rPr>
        <w:t>）见附件</w:t>
      </w:r>
      <w:r>
        <w:rPr>
          <w:rFonts w:hint="eastAsia" w:ascii="仿宋_GB2312" w:hAnsi="仿宋_GB2312" w:eastAsia="仿宋_GB2312" w:cs="仿宋_GB2312"/>
          <w:color w:val="auto"/>
          <w:sz w:val="32"/>
          <w:szCs w:val="32"/>
          <w:highlight w:val="none"/>
          <w:lang w:val="en-US" w:eastAsia="zh-CN"/>
        </w:rPr>
        <w:t>3。</w:t>
      </w: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p>
      <w:pPr>
        <w:pStyle w:val="2"/>
        <w:rPr>
          <w:rFonts w:hint="eastAsia" w:ascii="Times New Roman" w:hAnsi="Times New Roman" w:eastAsia="黑体"/>
          <w:color w:val="auto"/>
          <w:sz w:val="44"/>
          <w:szCs w:val="44"/>
          <w:highlight w:val="none"/>
        </w:rPr>
      </w:pPr>
    </w:p>
    <w:bookmarkEnd w:id="47"/>
    <w:p>
      <w:pPr>
        <w:jc w:val="center"/>
        <w:rPr>
          <w:rFonts w:hint="eastAsia" w:ascii="Times New Roman" w:hAnsi="Times New Roman" w:eastAsia="仿宋"/>
          <w:b w:val="0"/>
          <w:color w:val="auto"/>
          <w:highlight w:val="none"/>
        </w:rPr>
      </w:pPr>
      <w:bookmarkStart w:id="49" w:name="_Toc15396618"/>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五</w:t>
      </w:r>
      <w:r>
        <w:rPr>
          <w:rStyle w:val="28"/>
          <w:rFonts w:hint="eastAsia" w:ascii="Times New Roman" w:hAnsi="Times New Roman" w:eastAsia="黑体"/>
          <w:b w:val="0"/>
          <w:color w:val="auto"/>
          <w:highlight w:val="none"/>
        </w:rPr>
        <w:t>部分 附表</w:t>
      </w:r>
      <w:bookmarkEnd w:id="48"/>
      <w:bookmarkEnd w:id="49"/>
      <w:bookmarkStart w:id="50"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0"/>
      <w:r>
        <w:rPr>
          <w:rFonts w:hint="eastAsia" w:ascii="Times New Roman" w:hAnsi="Times New Roman" w:eastAsia="仿宋_GB2312" w:cs="仿宋_GB2312"/>
          <w:color w:val="auto"/>
          <w:sz w:val="32"/>
          <w:szCs w:val="32"/>
          <w:highlight w:val="none"/>
        </w:rPr>
        <w:t>二、收入决算表</w:t>
      </w:r>
      <w:bookmarkEnd w:id="5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1"/>
      <w:r>
        <w:rPr>
          <w:rFonts w:hint="eastAsia" w:ascii="Times New Roman" w:hAnsi="Times New Roman" w:eastAsia="仿宋_GB2312" w:cs="仿宋_GB2312"/>
          <w:color w:val="auto"/>
          <w:sz w:val="32"/>
          <w:szCs w:val="32"/>
          <w:highlight w:val="none"/>
        </w:rPr>
        <w:t>三、支出决算表</w:t>
      </w:r>
      <w:bookmarkEnd w:id="5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2"/>
      <w:r>
        <w:rPr>
          <w:rFonts w:hint="eastAsia" w:ascii="Times New Roman" w:hAnsi="Times New Roman" w:eastAsia="仿宋_GB2312" w:cs="仿宋_GB2312"/>
          <w:color w:val="auto"/>
          <w:sz w:val="32"/>
          <w:szCs w:val="32"/>
          <w:highlight w:val="none"/>
        </w:rPr>
        <w:t>四、财政拨款收入支出决算总表</w:t>
      </w:r>
      <w:bookmarkEnd w:id="5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3"/>
      <w:r>
        <w:rPr>
          <w:rFonts w:hint="eastAsia" w:ascii="Times New Roman" w:hAnsi="Times New Roman" w:eastAsia="仿宋_GB2312" w:cs="仿宋_GB2312"/>
          <w:color w:val="auto"/>
          <w:sz w:val="32"/>
          <w:szCs w:val="32"/>
          <w:highlight w:val="none"/>
        </w:rPr>
        <w:t>五、财政拨款支出决算明细表</w:t>
      </w:r>
      <w:bookmarkEnd w:id="54"/>
      <w:bookmarkStart w:id="55"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5"/>
      <w:r>
        <w:rPr>
          <w:rFonts w:hint="eastAsia" w:ascii="Times New Roman" w:hAnsi="Times New Roman" w:eastAsia="仿宋_GB2312" w:cs="仿宋_GB2312"/>
          <w:color w:val="auto"/>
          <w:sz w:val="32"/>
          <w:szCs w:val="32"/>
          <w:highlight w:val="none"/>
        </w:rPr>
        <w:t>七、一般公共预算财政拨款支出决算明细表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6"/>
      <w:r>
        <w:rPr>
          <w:rFonts w:hint="eastAsia" w:ascii="Times New Roman" w:hAnsi="Times New Roman" w:eastAsia="仿宋_GB2312" w:cs="仿宋_GB2312"/>
          <w:color w:val="auto"/>
          <w:sz w:val="32"/>
          <w:szCs w:val="32"/>
          <w:highlight w:val="none"/>
        </w:rPr>
        <w:t>八、一般公共预算财政拨款基本支出决算表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7"/>
      <w:r>
        <w:rPr>
          <w:rFonts w:hint="eastAsia" w:ascii="Times New Roman" w:hAnsi="Times New Roman" w:eastAsia="仿宋_GB2312" w:cs="仿宋_GB2312"/>
          <w:color w:val="auto"/>
          <w:sz w:val="32"/>
          <w:szCs w:val="32"/>
          <w:highlight w:val="none"/>
        </w:rPr>
        <w:t>九、一般公共预算财政拨款项目支出决算表</w:t>
      </w:r>
      <w:bookmarkEnd w:id="5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8"/>
      <w:r>
        <w:rPr>
          <w:rFonts w:hint="eastAsia" w:ascii="Times New Roman" w:hAnsi="Times New Roman" w:eastAsia="仿宋_GB2312" w:cs="仿宋_GB2312"/>
          <w:color w:val="auto"/>
          <w:sz w:val="32"/>
          <w:szCs w:val="32"/>
          <w:highlight w:val="none"/>
        </w:rPr>
        <w:t>十、</w:t>
      </w:r>
      <w:bookmarkEnd w:id="59"/>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9"/>
      <w:r>
        <w:rPr>
          <w:rFonts w:hint="eastAsia" w:ascii="Times New Roman" w:hAnsi="Times New Roman" w:eastAsia="仿宋_GB2312" w:cs="仿宋_GB2312"/>
          <w:color w:val="auto"/>
          <w:sz w:val="32"/>
          <w:szCs w:val="32"/>
          <w:highlight w:val="none"/>
        </w:rPr>
        <w:t>十一、</w:t>
      </w:r>
      <w:bookmarkEnd w:id="6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30"/>
      <w:r>
        <w:rPr>
          <w:rFonts w:hint="eastAsia" w:ascii="Times New Roman" w:hAnsi="Times New Roman" w:eastAsia="仿宋_GB2312" w:cs="仿宋_GB2312"/>
          <w:color w:val="auto"/>
          <w:sz w:val="32"/>
          <w:szCs w:val="32"/>
          <w:highlight w:val="none"/>
        </w:rPr>
        <w:t>十二、</w:t>
      </w:r>
      <w:bookmarkEnd w:id="61"/>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2" w:name="_Toc15396631"/>
      <w:r>
        <w:rPr>
          <w:rFonts w:hint="eastAsia" w:ascii="Times New Roman" w:hAnsi="Times New Roman" w:eastAsia="仿宋_GB2312" w:cs="仿宋_GB2312"/>
          <w:color w:val="auto"/>
          <w:sz w:val="32"/>
          <w:szCs w:val="32"/>
          <w:highlight w:val="none"/>
        </w:rPr>
        <w:t>十三、</w:t>
      </w:r>
      <w:bookmarkEnd w:id="62"/>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- 11 -</w:t>
                    </w:r>
                    <w:r>
                      <w:fldChar w:fldCharType="end"/>
                    </w: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20A5C"/>
    <w:multiLevelType w:val="singleLevel"/>
    <w:tmpl w:val="FEF20A5C"/>
    <w:lvl w:ilvl="0" w:tentative="0">
      <w:start w:val="2"/>
      <w:numFmt w:val="chineseCounting"/>
      <w:suff w:val="nothing"/>
      <w:lvlText w:val="%1、"/>
      <w:lvlJc w:val="left"/>
      <w:rPr>
        <w:rFonts w:hint="eastAsia"/>
      </w:rPr>
    </w:lvl>
  </w:abstractNum>
  <w:abstractNum w:abstractNumId="1">
    <w:nsid w:val="3FEE5D06"/>
    <w:multiLevelType w:val="singleLevel"/>
    <w:tmpl w:val="3FEE5D06"/>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B6DC4B"/>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7FFC9E2"/>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DFA1F8"/>
    <w:rsid w:val="3FF4CAE0"/>
    <w:rsid w:val="3FF7B227"/>
    <w:rsid w:val="44E268DA"/>
    <w:rsid w:val="450D13D7"/>
    <w:rsid w:val="45506656"/>
    <w:rsid w:val="486A6C7A"/>
    <w:rsid w:val="4A627F82"/>
    <w:rsid w:val="4B0E749A"/>
    <w:rsid w:val="4B2477C4"/>
    <w:rsid w:val="4B4F25DA"/>
    <w:rsid w:val="4BE068DB"/>
    <w:rsid w:val="4C507179"/>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97FBE9E"/>
    <w:rsid w:val="5AF92295"/>
    <w:rsid w:val="5B250254"/>
    <w:rsid w:val="5BDD79E6"/>
    <w:rsid w:val="5BF561CA"/>
    <w:rsid w:val="5BFF5DFC"/>
    <w:rsid w:val="5CD71FC4"/>
    <w:rsid w:val="5D1F11B5"/>
    <w:rsid w:val="5D695134"/>
    <w:rsid w:val="5DAE1B18"/>
    <w:rsid w:val="5DE7D9E5"/>
    <w:rsid w:val="5ECEC941"/>
    <w:rsid w:val="5F7AD45A"/>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3FFA988"/>
    <w:rsid w:val="744731E5"/>
    <w:rsid w:val="74BBD01D"/>
    <w:rsid w:val="74ED5379"/>
    <w:rsid w:val="75DEEEC2"/>
    <w:rsid w:val="75E32345"/>
    <w:rsid w:val="767FA360"/>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5F444A"/>
    <w:rsid w:val="7D7EC23E"/>
    <w:rsid w:val="7E4F428D"/>
    <w:rsid w:val="7E8ADEBF"/>
    <w:rsid w:val="7EEF11D3"/>
    <w:rsid w:val="7EFE4840"/>
    <w:rsid w:val="7F0971A6"/>
    <w:rsid w:val="7F1D62E7"/>
    <w:rsid w:val="7F3F679B"/>
    <w:rsid w:val="7F4FC4EF"/>
    <w:rsid w:val="7F5E4D54"/>
    <w:rsid w:val="7F5EC9A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3FD6EB0"/>
    <w:rsid w:val="B7CF06AB"/>
    <w:rsid w:val="B7CFA926"/>
    <w:rsid w:val="B7F8786B"/>
    <w:rsid w:val="BABB6AA1"/>
    <w:rsid w:val="BB2F4199"/>
    <w:rsid w:val="BCFFB442"/>
    <w:rsid w:val="BD079C78"/>
    <w:rsid w:val="BD733540"/>
    <w:rsid w:val="BF3735D5"/>
    <w:rsid w:val="BF7F09AC"/>
    <w:rsid w:val="BFD475C3"/>
    <w:rsid w:val="BFDE5EA6"/>
    <w:rsid w:val="BFFF99DA"/>
    <w:rsid w:val="CF6FC6F3"/>
    <w:rsid w:val="CFD3D3D7"/>
    <w:rsid w:val="CFDF1009"/>
    <w:rsid w:val="D6FE38E5"/>
    <w:rsid w:val="D7D7B16A"/>
    <w:rsid w:val="D8D6DB89"/>
    <w:rsid w:val="DB6F4CAB"/>
    <w:rsid w:val="DB777682"/>
    <w:rsid w:val="DD1FB521"/>
    <w:rsid w:val="DEFBFEAE"/>
    <w:rsid w:val="DF1F3B80"/>
    <w:rsid w:val="DF6F9789"/>
    <w:rsid w:val="DFDF7040"/>
    <w:rsid w:val="DFE9BE81"/>
    <w:rsid w:val="DFEF9A6E"/>
    <w:rsid w:val="DFF97DEF"/>
    <w:rsid w:val="DFFFA9E8"/>
    <w:rsid w:val="E5F4E9DC"/>
    <w:rsid w:val="E70FE695"/>
    <w:rsid w:val="E7F3781F"/>
    <w:rsid w:val="EB2E368B"/>
    <w:rsid w:val="ECFED1BC"/>
    <w:rsid w:val="ED1D69BB"/>
    <w:rsid w:val="ED7FD312"/>
    <w:rsid w:val="EF2E1AC6"/>
    <w:rsid w:val="EF53993F"/>
    <w:rsid w:val="EF6FD633"/>
    <w:rsid w:val="EFBFB2F4"/>
    <w:rsid w:val="EFBFFA21"/>
    <w:rsid w:val="EFF52763"/>
    <w:rsid w:val="F2BEBCB8"/>
    <w:rsid w:val="F36FB518"/>
    <w:rsid w:val="F3DE1A04"/>
    <w:rsid w:val="F3F722E5"/>
    <w:rsid w:val="F4FBCD07"/>
    <w:rsid w:val="F6BF42CC"/>
    <w:rsid w:val="F7BF231C"/>
    <w:rsid w:val="FA5F1E70"/>
    <w:rsid w:val="FA5FDB97"/>
    <w:rsid w:val="FB7F486A"/>
    <w:rsid w:val="FBFF5B2E"/>
    <w:rsid w:val="FD7FFE2B"/>
    <w:rsid w:val="FDEE196B"/>
    <w:rsid w:val="FDFE6575"/>
    <w:rsid w:val="FEDFDDC2"/>
    <w:rsid w:val="FEED32F6"/>
    <w:rsid w:val="FEF781DD"/>
    <w:rsid w:val="FEF9E607"/>
    <w:rsid w:val="FF3F7E3F"/>
    <w:rsid w:val="FFB0299B"/>
    <w:rsid w:val="FFBA12D7"/>
    <w:rsid w:val="FFCBD314"/>
    <w:rsid w:val="FFDFF91C"/>
    <w:rsid w:val="FFDFFAEE"/>
    <w:rsid w:val="FFEF6777"/>
    <w:rsid w:val="FFF7EC85"/>
    <w:rsid w:val="FFF9B57B"/>
    <w:rsid w:val="FFFD5819"/>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Desktop/&#26609;&#29366;&#22270;&#25968;&#2545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6609;&#29366;&#22270;&#25968;&#2545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Desktop/2024&#24180;&#20915;&#31639;&#20844;&#24320;/&#20915;&#31639;&#22270;&#34920;&#27169;&#2649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Desktop/&#26609;&#29366;&#22270;&#25968;&#2545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Desktop/&#26609;&#29366;&#22270;&#25968;&#2545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ome/user/Desktop/&#26609;&#29366;&#22270;&#25968;&#25454;.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26609;&#29366;&#22270;&#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600" b="1" i="0" u="none" strike="noStrike" baseline="0">
                <a:solidFill>
                  <a:srgbClr val="000000"/>
                </a:solidFill>
                <a:latin typeface="宋体" panose="02010600030101010101" charset="-122"/>
                <a:ea typeface="宋体" panose="02010600030101010101" charset="-122"/>
                <a:cs typeface="宋体" panose="02010600030101010101" charset="-122"/>
              </a:rPr>
              <a:t>收入、支出决算总计变动图</a:t>
            </a:r>
            <a:endParaRPr altLang="en-US" sz="1600" b="1"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4375"/>
          <c:y val="0.0104166666666667"/>
        </c:manualLayout>
      </c:layout>
      <c:overlay val="0"/>
      <c:spPr>
        <a:noFill/>
        <a:ln>
          <a:noFill/>
        </a:ln>
        <a:effectLst/>
      </c:spPr>
    </c:title>
    <c:autoTitleDeleted val="0"/>
    <c:plotArea>
      <c:layout/>
      <c:barChart>
        <c:barDir val="col"/>
        <c:grouping val="clustered"/>
        <c:varyColors val="0"/>
        <c:ser>
          <c:idx val="0"/>
          <c:order val="0"/>
          <c:tx>
            <c:strRef>
              <c:f>'[柱状图数据.xls]2022年收支总计'!$B$1</c:f>
              <c:strCache>
                <c:ptCount val="1"/>
                <c:pt idx="0">
                  <c:v>收支</c:v>
                </c:pt>
              </c:strCache>
            </c:strRef>
          </c:tx>
          <c:spPr>
            <a:solidFill>
              <a:schemeClr val="accent1"/>
            </a:solidFill>
            <a:ln>
              <a:noFill/>
            </a:ln>
            <a:effectLst/>
          </c:spPr>
          <c:invertIfNegative val="0"/>
          <c:dPt>
            <c:idx val="0"/>
            <c:invertIfNegative val="0"/>
            <c:bubble3D val="0"/>
            <c:explosion val="0"/>
            <c:spPr>
              <a:solidFill>
                <a:schemeClr val="accent1"/>
              </a:solidFill>
              <a:ln>
                <a:noFill/>
              </a:ln>
              <a:effectLst/>
            </c:spPr>
          </c:dPt>
          <c:dPt>
            <c:idx val="1"/>
            <c:invertIfNegative val="0"/>
            <c:bubble3D val="0"/>
            <c:explosion val="0"/>
            <c:spPr>
              <a:solidFill>
                <a:srgbClr val="F739DA"/>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'[柱状图数据.xls]2022年收支总计'!$A$2:$A$3</c:f>
              <c:strCache>
                <c:ptCount val="2"/>
                <c:pt idx="0">
                  <c:v>2023年度</c:v>
                </c:pt>
                <c:pt idx="1">
                  <c:v>2024年度</c:v>
                </c:pt>
              </c:strCache>
            </c:strRef>
          </c:cat>
          <c:val>
            <c:numRef>
              <c:f>'[柱状图数据.xls]2022年收支总计'!$B$2:$B$3</c:f>
              <c:numCache>
                <c:formatCode>0.00_ </c:formatCode>
                <c:ptCount val="2"/>
                <c:pt idx="0">
                  <c:v>613.5</c:v>
                </c:pt>
                <c:pt idx="1">
                  <c:v>6956.02</c:v>
                </c:pt>
              </c:numCache>
            </c:numRef>
          </c:val>
        </c:ser>
        <c:dLbls>
          <c:showLegendKey val="0"/>
          <c:showVal val="0"/>
          <c:showCatName val="0"/>
          <c:showSerName val="0"/>
          <c:showPercent val="0"/>
          <c:showBubbleSize val="0"/>
        </c:dLbls>
        <c:gapWidth val="219"/>
        <c:overlap val="0"/>
        <c:axId val="787325928"/>
        <c:axId val="18359886"/>
      </c:barChart>
      <c:catAx>
        <c:axId val="7873259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59886"/>
        <c:crosses val="autoZero"/>
        <c:auto val="1"/>
        <c:lblAlgn val="ctr"/>
        <c:lblOffset val="100"/>
        <c:noMultiLvlLbl val="0"/>
      </c:catAx>
      <c:valAx>
        <c:axId val="1835988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325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400" b="0" i="0" u="none" strike="noStrike" kern="1200" spc="0" baseline="0">
                <a:solidFill>
                  <a:schemeClr val="tx1">
                    <a:lumMod val="65000"/>
                    <a:lumOff val="35000"/>
                  </a:schemeClr>
                </a:solidFill>
                <a:latin typeface="+mn-lt"/>
                <a:ea typeface="+mn-ea"/>
                <a:cs typeface="+mn-cs"/>
              </a:rPr>
              <a:t>收入决算结构图</a:t>
            </a:r>
            <a:endParaRPr altLang="en-US"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gradFill>
                <a:gsLst>
                  <a:gs pos="0">
                    <a:srgbClr val="FBFB11"/>
                  </a:gs>
                  <a:gs pos="100000">
                    <a:srgbClr val="838309"/>
                  </a:gs>
                </a:gsLst>
                <a:lin ang="5400000" scaled="0"/>
              </a:gradFill>
              <a:ln w="19050">
                <a:solidFill>
                  <a:schemeClr val="lt1"/>
                </a:solidFill>
              </a:ln>
              <a:effectLst/>
            </c:spPr>
          </c:dPt>
          <c:dLbls>
            <c:dLbl>
              <c:idx val="1"/>
              <c:layout>
                <c:manualLayout>
                  <c:x val="-0.0157561377517133"/>
                  <c:y val="0.04075559598846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29050915927672"/>
                  <c:y val="0.02252774470293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[柱状图数据.xls]本年收入!$A$2:$A$4</c:f>
              <c:strCache>
                <c:ptCount val="3"/>
                <c:pt idx="0">
                  <c:v>一般公共预算财政拨款收入</c:v>
                </c:pt>
                <c:pt idx="1">
                  <c:v>政府性基金预算财政拨款收入</c:v>
                </c:pt>
              </c:strCache>
            </c:strRef>
          </c:cat>
          <c:val>
            <c:numRef>
              <c:f>[柱状图数据.xls]本年收入!$B$2:$B$4</c:f>
              <c:numCache>
                <c:formatCode>General</c:formatCode>
                <c:ptCount val="3"/>
                <c:pt idx="0">
                  <c:v>6390.69</c:v>
                </c:pt>
                <c:pt idx="1">
                  <c:v>58.35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[决算图表模板.xls]“三公”经费财政拨款支出结构!$B$1</c:f>
              <c:strCache>
                <c:ptCount val="1"/>
                <c:pt idx="0">
                  <c:v>支出决算结构图</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[决算图表模板.xls]“三公”经费财政拨款支出结构!$A$2:$A$3</c:f>
              <c:strCache>
                <c:ptCount val="2"/>
                <c:pt idx="0">
                  <c:v>基本支出</c:v>
                </c:pt>
                <c:pt idx="1">
                  <c:v>项目支出</c:v>
                </c:pt>
              </c:strCache>
            </c:strRef>
          </c:cat>
          <c:val>
            <c:numRef>
              <c:f>[决算图表模板.xls]“三公”经费财政拨款支出结构!$B$2:$B$3</c:f>
              <c:numCache>
                <c:formatCode>General</c:formatCode>
                <c:ptCount val="2"/>
                <c:pt idx="0">
                  <c:v>502.64</c:v>
                </c:pt>
                <c:pt idx="1">
                  <c:v>6453.39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财政拨款收、支决算总计变动图</a:t>
            </a:r>
          </a:p>
        </c:rich>
      </c:tx>
      <c:layout/>
      <c:overlay val="0"/>
      <c:spPr>
        <a:noFill/>
        <a:ln>
          <a:noFill/>
        </a:ln>
        <a:effectLst/>
      </c:spPr>
    </c:title>
    <c:autoTitleDeleted val="0"/>
    <c:plotArea>
      <c:layout/>
      <c:barChart>
        <c:barDir val="col"/>
        <c:grouping val="clustered"/>
        <c:varyColors val="0"/>
        <c:ser>
          <c:idx val="0"/>
          <c:order val="0"/>
          <c:tx>
            <c:strRef>
              <c:f>[柱状图数据.xls]收支总计!$B$2</c:f>
              <c:strCache>
                <c:ptCount val="1"/>
                <c:pt idx="0">
                  <c:v>2024年度财政拨款收、支决算总计</c:v>
                </c:pt>
              </c:strCache>
            </c:strRef>
          </c:tx>
          <c:spPr>
            <a:solidFill>
              <a:schemeClr val="accent1"/>
            </a:solidFill>
            <a:ln>
              <a:noFill/>
            </a:ln>
            <a:effectLst/>
          </c:spPr>
          <c:invertIfNegative val="0"/>
          <c:dPt>
            <c:idx val="1"/>
            <c:invertIfNegative val="0"/>
            <c:bubble3D val="0"/>
            <c:explosion val="0"/>
            <c:spPr>
              <a:solidFill>
                <a:srgbClr val="F739DA"/>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[柱状图数据.xls]收支总计!$A$3:$A$4</c:f>
              <c:strCache>
                <c:ptCount val="2"/>
                <c:pt idx="0">
                  <c:v>2023年度</c:v>
                </c:pt>
                <c:pt idx="1">
                  <c:v>2024年度</c:v>
                </c:pt>
              </c:strCache>
            </c:strRef>
          </c:cat>
          <c:val>
            <c:numRef>
              <c:f>[柱状图数据.xls]收支总计!$B$3:$B$4</c:f>
              <c:numCache>
                <c:formatCode>General</c:formatCode>
                <c:ptCount val="2"/>
                <c:pt idx="0">
                  <c:v>613.5</c:v>
                </c:pt>
                <c:pt idx="1">
                  <c:v>6956.02</c:v>
                </c:pt>
              </c:numCache>
            </c:numRef>
          </c:val>
        </c:ser>
        <c:dLbls>
          <c:showLegendKey val="0"/>
          <c:showVal val="0"/>
          <c:showCatName val="0"/>
          <c:showSerName val="0"/>
          <c:showPercent val="0"/>
          <c:showBubbleSize val="0"/>
        </c:dLbls>
        <c:gapWidth val="219"/>
        <c:overlap val="-27"/>
        <c:axId val="180619740"/>
        <c:axId val="839208165"/>
      </c:barChart>
      <c:catAx>
        <c:axId val="1806197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208165"/>
        <c:crosses val="autoZero"/>
        <c:auto val="1"/>
        <c:lblAlgn val="ctr"/>
        <c:lblOffset val="100"/>
        <c:noMultiLvlLbl val="0"/>
      </c:catAx>
      <c:valAx>
        <c:axId val="83920816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6197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一般公共预算财政拨款支出变动图</a:t>
            </a:r>
          </a:p>
        </c:rich>
      </c:tx>
      <c:layout/>
      <c:overlay val="0"/>
      <c:spPr>
        <a:noFill/>
        <a:ln>
          <a:noFill/>
        </a:ln>
        <a:effectLst/>
      </c:spPr>
    </c:title>
    <c:autoTitleDeleted val="0"/>
    <c:plotArea>
      <c:layout>
        <c:manualLayout>
          <c:layoutTarget val="inner"/>
          <c:xMode val="edge"/>
          <c:yMode val="edge"/>
          <c:x val="0.0727222222222222"/>
          <c:y val="0.173611111111111"/>
          <c:w val="0.894638888888889"/>
          <c:h val="0.710972222222222"/>
        </c:manualLayout>
      </c:layout>
      <c:barChart>
        <c:barDir val="col"/>
        <c:grouping val="clustered"/>
        <c:varyColors val="0"/>
        <c:ser>
          <c:idx val="0"/>
          <c:order val="0"/>
          <c:tx>
            <c:strRef>
              <c:f>[柱状图数据.xls]一般公共预算财政拨款支出总体!$B$2</c:f>
              <c:strCache>
                <c:ptCount val="1"/>
                <c:pt idx="0">
                  <c:v>2023年度一般公共预算财政拨款支出</c:v>
                </c:pt>
              </c:strCache>
            </c:strRef>
          </c:tx>
          <c:spPr>
            <a:solidFill>
              <a:schemeClr val="accent1"/>
            </a:solidFill>
            <a:ln>
              <a:noFill/>
            </a:ln>
            <a:effectLst/>
          </c:spPr>
          <c:invertIfNegative val="0"/>
          <c:dPt>
            <c:idx val="1"/>
            <c:invertIfNegative val="0"/>
            <c:bubble3D val="0"/>
            <c:explosion val="0"/>
            <c:spPr>
              <a:solidFill>
                <a:srgbClr val="F739DA"/>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[柱状图数据.xls]一般公共预算财政拨款支出总体!$A$3:$A$4</c:f>
              <c:strCache>
                <c:ptCount val="2"/>
                <c:pt idx="0">
                  <c:v>2023年</c:v>
                </c:pt>
                <c:pt idx="1">
                  <c:v>2024年</c:v>
                </c:pt>
              </c:strCache>
            </c:strRef>
          </c:cat>
          <c:val>
            <c:numRef>
              <c:f>[柱状图数据.xls]一般公共预算财政拨款支出总体!$B$3:$B$4</c:f>
              <c:numCache>
                <c:formatCode>General</c:formatCode>
                <c:ptCount val="2"/>
                <c:pt idx="0">
                  <c:v>572.66</c:v>
                </c:pt>
                <c:pt idx="1">
                  <c:v>6897.67</c:v>
                </c:pt>
              </c:numCache>
            </c:numRef>
          </c:val>
        </c:ser>
        <c:dLbls>
          <c:showLegendKey val="0"/>
          <c:showVal val="0"/>
          <c:showCatName val="0"/>
          <c:showSerName val="0"/>
          <c:showPercent val="0"/>
          <c:showBubbleSize val="0"/>
        </c:dLbls>
        <c:gapWidth val="219"/>
        <c:overlap val="-27"/>
        <c:axId val="596389583"/>
        <c:axId val="27223770"/>
      </c:barChart>
      <c:catAx>
        <c:axId val="5963895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223770"/>
        <c:crosses val="autoZero"/>
        <c:auto val="1"/>
        <c:lblAlgn val="ctr"/>
        <c:lblOffset val="100"/>
        <c:noMultiLvlLbl val="0"/>
      </c:catAx>
      <c:valAx>
        <c:axId val="2722377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6389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74861111111111"/>
          <c:y val="0.0173611111111111"/>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rgbClr val="FE00E3"/>
              </a:solidFill>
              <a:ln w="19050">
                <a:solidFill>
                  <a:schemeClr val="lt1"/>
                </a:solidFill>
              </a:ln>
              <a:effectLst/>
            </c:spPr>
          </c:dPt>
          <c:dPt>
            <c:idx val="4"/>
            <c:bubble3D val="0"/>
          </c:dPt>
          <c:dLbls>
            <c:dLbl>
              <c:idx val="0"/>
              <c:layout>
                <c:manualLayout>
                  <c:x val="0.0017354765416844"/>
                  <c:y val="0.018834122385812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9958105426247"/>
                  <c:y val="-0.05334216735655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70833333333333"/>
                  <c:y val="0.05208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42840104664681"/>
                  <c:y val="0.010218221813035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[柱状图数据.xls]一般公共预算财政拨款支出结构!$A$2:$A$6</c:f>
              <c:strCache>
                <c:ptCount val="5"/>
                <c:pt idx="0">
                  <c:v>一般公共服务支出</c:v>
                </c:pt>
                <c:pt idx="1">
                  <c:v>社会保障和就业支出</c:v>
                </c:pt>
                <c:pt idx="2">
                  <c:v>住房保障支出</c:v>
                </c:pt>
                <c:pt idx="3">
                  <c:v>卫生健康支出</c:v>
                </c:pt>
                <c:pt idx="4">
                  <c:v>农林水支出</c:v>
                </c:pt>
              </c:strCache>
            </c:strRef>
          </c:cat>
          <c:val>
            <c:numRef>
              <c:f>[柱状图数据.xls]一般公共预算财政拨款支出结构!$B$2:$B$6</c:f>
              <c:numCache>
                <c:formatCode>General</c:formatCode>
                <c:ptCount val="5"/>
                <c:pt idx="0">
                  <c:v>1.77</c:v>
                </c:pt>
                <c:pt idx="1">
                  <c:v>67.56</c:v>
                </c:pt>
                <c:pt idx="2">
                  <c:v>37.34</c:v>
                </c:pt>
                <c:pt idx="3">
                  <c:v>27.7</c:v>
                </c:pt>
                <c:pt idx="4">
                  <c:v>6763.3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tx>
            <c:strRef>
              <c:f>[柱状图数据.xls]“三公”经费财政拨款支出结构!$B$1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[柱状图数据.xls]“三公”经费财政拨款支出结构!$A$2:$A$3</c:f>
              <c:strCache>
                <c:ptCount val="2"/>
                <c:pt idx="0">
                  <c:v>公务接待费</c:v>
                </c:pt>
                <c:pt idx="1">
                  <c:v>公务车购置及运行维护费</c:v>
                </c:pt>
              </c:strCache>
            </c:strRef>
          </c:cat>
          <c:val>
            <c:numRef>
              <c:f>[柱状图数据.xls]“三公”经费财政拨款支出结构!$B$2:$B$3</c:f>
              <c:numCache>
                <c:formatCode>General</c:formatCode>
                <c:ptCount val="2"/>
                <c:pt idx="0">
                  <c:v>0.19</c:v>
                </c:pt>
                <c:pt idx="1">
                  <c:v>4.77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3</TotalTime>
  <ScaleCrop>false</ScaleCrop>
  <LinksUpToDate>false</LinksUpToDate>
  <CharactersWithSpaces>8692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2020-08-17T09:49:00Z</dcterms:created>
  <dc:creator>曹颖</dc:creator>
  <cp:lastModifiedBy>user</cp:lastModifiedBy>
  <cp:lastPrinted>2025-08-14T17:34:00Z</cp:lastPrinted>
  <dcterms:modified xsi:type="dcterms:W3CDTF">2025-09-15T11:07:11Z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04787F2533EB45DC91BCDE4AB213247F</vt:lpwstr>
  </property>
</Properties>
</file>