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jc w:val="both"/>
        <w:textAlignment w:val="auto"/>
        <w:rPr>
          <w:rFonts w:hint="default"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78441"/>
      <w:bookmarkStart w:id="2" w:name="_Toc15396597"/>
      <w:bookmarkStart w:id="3" w:name="_Toc15306267"/>
      <w:bookmarkStart w:id="4" w:name="_Toc15377193"/>
      <w:bookmarkStart w:id="5" w:name="_Toc15377425"/>
    </w:p>
    <w:p>
      <w:pPr>
        <w:pStyle w:val="2"/>
        <w:pageBreakBefore w:val="0"/>
        <w:widowControl w:val="0"/>
        <w:kinsoku/>
        <w:wordWrap/>
        <w:overflowPunct/>
        <w:topLinePunct w:val="0"/>
        <w:autoSpaceDE/>
        <w:autoSpaceDN/>
        <w:bidi w:val="0"/>
        <w:jc w:val="both"/>
        <w:textAlignment w:val="auto"/>
        <w:rPr>
          <w:rFonts w:hint="default" w:ascii="Times New Roman" w:hAnsi="Times New Roman" w:eastAsia="方正小标宋简体" w:cs="Times New Roman"/>
          <w:color w:val="auto"/>
          <w:kern w:val="2"/>
          <w:sz w:val="72"/>
          <w:szCs w:val="72"/>
          <w:highlight w:val="none"/>
          <w:lang w:val="en-US" w:eastAsia="zh-CN" w:bidi="ar-SA"/>
        </w:rPr>
      </w:pPr>
    </w:p>
    <w:p>
      <w:pPr>
        <w:pStyle w:val="2"/>
        <w:pageBreakBefore w:val="0"/>
        <w:widowControl w:val="0"/>
        <w:kinsoku/>
        <w:wordWrap/>
        <w:overflowPunct/>
        <w:topLinePunct w:val="0"/>
        <w:autoSpaceDE/>
        <w:autoSpaceDN/>
        <w:bidi w:val="0"/>
        <w:jc w:val="both"/>
        <w:textAlignment w:val="auto"/>
        <w:rPr>
          <w:rFonts w:hint="default" w:ascii="Times New Roman" w:hAnsi="Times New Roman" w:eastAsia="方正小标宋简体" w:cs="Times New Roman"/>
          <w:color w:val="auto"/>
          <w:kern w:val="2"/>
          <w:sz w:val="72"/>
          <w:szCs w:val="72"/>
          <w:highlight w:val="none"/>
          <w:lang w:val="en-US" w:eastAsia="zh-CN" w:bidi="ar-SA"/>
        </w:rPr>
      </w:pPr>
    </w:p>
    <w:p>
      <w:pPr>
        <w:pStyle w:val="2"/>
        <w:pageBreakBefore w:val="0"/>
        <w:widowControl w:val="0"/>
        <w:kinsoku/>
        <w:wordWrap/>
        <w:overflowPunct/>
        <w:topLinePunct w:val="0"/>
        <w:autoSpaceDE/>
        <w:autoSpaceDN/>
        <w:bidi w:val="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2024年度攀枝花市水利局</w:t>
      </w:r>
    </w:p>
    <w:p>
      <w:pPr>
        <w:pStyle w:val="2"/>
        <w:pageBreakBefore w:val="0"/>
        <w:widowControl w:val="0"/>
        <w:kinsoku/>
        <w:wordWrap/>
        <w:overflowPunct/>
        <w:topLinePunct w:val="0"/>
        <w:autoSpaceDE/>
        <w:autoSpaceDN/>
        <w:bidi w:val="0"/>
        <w:jc w:val="center"/>
        <w:textAlignment w:val="auto"/>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NumType w:fmt="numberInDash" w:start="1"/>
          <w:cols w:space="720" w:num="1"/>
          <w:titlePg/>
          <w:docGrid w:type="lines" w:linePitch="312" w:charSpace="0"/>
        </w:sectPr>
      </w:pPr>
      <w:r>
        <w:rPr>
          <w:rFonts w:hint="default" w:ascii="Times New Roman" w:hAnsi="Times New Roman" w:eastAsia="方正小标宋简体" w:cs="Times New Roman"/>
          <w:color w:val="auto"/>
          <w:kern w:val="2"/>
          <w:sz w:val="44"/>
          <w:szCs w:val="44"/>
          <w:highlight w:val="none"/>
          <w:lang w:val="en-US" w:eastAsia="zh-CN" w:bidi="ar-SA"/>
        </w:rPr>
        <w:t>单位决算公开文字说明</w:t>
      </w:r>
    </w:p>
    <w:bookmarkEnd w:id="0"/>
    <w:bookmarkEnd w:id="1"/>
    <w:bookmarkEnd w:id="2"/>
    <w:bookmarkEnd w:id="3"/>
    <w:bookmarkEnd w:id="4"/>
    <w:bookmarkEnd w:id="5"/>
    <w:p>
      <w:pPr>
        <w:pageBreakBefore w:val="0"/>
        <w:widowControl/>
        <w:kinsoku/>
        <w:wordWrap/>
        <w:overflowPunct/>
        <w:topLinePunct w:val="0"/>
        <w:autoSpaceDE/>
        <w:autoSpaceDN/>
        <w:bidi w:val="0"/>
        <w:ind w:firstLine="3360" w:firstLineChars="700"/>
        <w:jc w:val="both"/>
        <w:textAlignment w:val="auto"/>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sz w:val="28"/>
          <w:szCs w:val="28"/>
          <w:highlight w:val="none"/>
        </w:rPr>
      </w:pPr>
    </w:p>
    <w:p>
      <w:pPr>
        <w:pStyle w:val="12"/>
        <w:pageBreakBefore w:val="0"/>
        <w:widowControl w:val="0"/>
        <w:kinsoku/>
        <w:wordWrap/>
        <w:overflowPunct/>
        <w:topLinePunct w:val="0"/>
        <w:autoSpaceDE/>
        <w:autoSpaceDN/>
        <w:bidi w:val="0"/>
        <w:ind w:firstLine="1600" w:firstLineChars="5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w:t>
      </w:r>
      <w:r>
        <w:rPr>
          <w:rFonts w:hint="eastAsia" w:asci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eastAsia="仿宋_GB2312" w:cs="Times New Roman"/>
          <w:color w:val="auto"/>
          <w:sz w:val="32"/>
          <w:szCs w:val="32"/>
          <w:highlight w:val="none"/>
          <w:lang w:val="en-US" w:eastAsia="zh-CN"/>
        </w:rPr>
        <w:t>15</w:t>
      </w:r>
      <w:bookmarkStart w:id="102" w:name="_GoBack"/>
      <w:bookmarkEnd w:id="102"/>
      <w:r>
        <w:rPr>
          <w:rFonts w:hint="default" w:ascii="Times New Roman" w:hAnsi="Times New Roman" w:eastAsia="仿宋_GB2312" w:cs="Times New Roman"/>
          <w:color w:val="auto"/>
          <w:sz w:val="32"/>
          <w:szCs w:val="32"/>
          <w:highlight w:val="none"/>
        </w:rPr>
        <w:t>日</w:t>
      </w:r>
    </w:p>
    <w:p>
      <w:pPr>
        <w:pageBreakBefore w:val="0"/>
        <w:widowControl w:val="0"/>
        <w:kinsoku/>
        <w:wordWrap/>
        <w:overflowPunct/>
        <w:topLinePunct w:val="0"/>
        <w:autoSpaceDE/>
        <w:autoSpaceDN/>
        <w:bidi w:val="0"/>
        <w:jc w:val="both"/>
        <w:textAlignment w:val="auto"/>
        <w:rPr>
          <w:rFonts w:hint="default" w:ascii="Times New Roman" w:hAnsi="Times New Roman" w:eastAsia="仿宋_GB2312" w:cs="Times New Roman"/>
          <w:color w:val="auto"/>
          <w:sz w:val="32"/>
          <w:szCs w:val="32"/>
          <w:highlight w:val="none"/>
        </w:rPr>
      </w:pPr>
    </w:p>
    <w:sdt>
      <w:sdtPr>
        <w:rPr>
          <w:rFonts w:hint="default" w:ascii="Times New Roman" w:hAnsi="Times New Roman" w:eastAsia="仿宋_GB2312" w:cs="Times New Roman"/>
          <w:kern w:val="2"/>
          <w:sz w:val="32"/>
          <w:szCs w:val="32"/>
          <w:lang w:val="en-US" w:eastAsia="zh-CN" w:bidi="ar-SA"/>
        </w:rPr>
        <w:id w:val="-1803184668"/>
        <w:docPartObj>
          <w:docPartGallery w:val="Table of Contents"/>
          <w:docPartUnique/>
        </w:docPartObj>
      </w:sdtPr>
      <w:sdtEndPr>
        <w:rPr>
          <w:rFonts w:hint="default" w:ascii="Times New Roman" w:hAnsi="Times New Roman" w:eastAsia="仿宋_GB2312" w:cs="Times New Roman"/>
          <w:kern w:val="2"/>
          <w:sz w:val="32"/>
          <w:szCs w:val="32"/>
          <w:lang w:val="en-US" w:eastAsia="zh-CN" w:bidi="ar-SA"/>
        </w:rPr>
      </w:sdtEndPr>
      <w:sdtContent>
        <w:p>
          <w:pPr>
            <w:pageBreakBefore w:val="0"/>
            <w:widowControl w:val="0"/>
            <w:kinsoku/>
            <w:wordWrap/>
            <w:overflowPunct/>
            <w:topLinePunct w:val="0"/>
            <w:autoSpaceDE/>
            <w:autoSpaceDN/>
            <w:bidi w:val="0"/>
            <w:spacing w:before="0" w:after="0" w:line="240" w:lineRule="auto"/>
            <w:ind w:left="0" w:right="0" w:firstLine="0"/>
            <w:jc w:val="both"/>
            <w:textAlignment w:val="auto"/>
            <w:rPr>
              <w:rFonts w:hint="default" w:ascii="Times New Roman" w:hAnsi="Times New Roman" w:eastAsia="仿宋_GB2312" w:cs="Times New Roman"/>
              <w:sz w:val="32"/>
              <w:szCs w:val="32"/>
            </w:rPr>
          </w:pPr>
          <w:bookmarkStart w:id="6" w:name="_Toc578556115_WPSOffice_Type2"/>
        </w:p>
        <w:p>
          <w:pPr>
            <w:pStyle w:val="31"/>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b/>
                <w:bCs/>
                <w:kern w:val="2"/>
                <w:sz w:val="32"/>
                <w:szCs w:val="32"/>
                <w:lang w:val="en-US" w:eastAsia="zh-CN" w:bidi="ar-SA"/>
              </w:rPr>
              <w:id w:val="1039846348"/>
              <w:placeholder>
                <w:docPart w:val="6B0C53DD8AE848FCADCB9AC7FB06231B"/>
              </w:placeholder>
            </w:sdtPr>
            <w:sdtEndPr>
              <w:rPr>
                <w:rFonts w:hint="default" w:ascii="Times New Roman" w:hAnsi="Times New Roman" w:eastAsia="仿宋_GB2312" w:cs="Times New Roman"/>
                <w:b/>
                <w:bCs/>
                <w:kern w:val="2"/>
                <w:sz w:val="32"/>
                <w:szCs w:val="32"/>
                <w:lang w:val="en-US" w:eastAsia="zh-CN" w:bidi="ar-SA"/>
              </w:rPr>
            </w:sdtEndPr>
            <w:sdtContent>
              <w:r>
                <w:rPr>
                  <w:rFonts w:hint="default" w:ascii="Times New Roman" w:hAnsi="Times New Roman" w:eastAsia="仿宋_GB2312" w:cs="Times New Roman"/>
                  <w:b/>
                  <w:bCs/>
                  <w:sz w:val="32"/>
                  <w:szCs w:val="32"/>
                </w:rPr>
                <w:fldChar w:fldCharType="begin"/>
              </w:r>
              <w:r>
                <w:rPr>
                  <w:rFonts w:hint="default" w:ascii="Times New Roman" w:hAnsi="Times New Roman" w:cs="Times New Roman"/>
                </w:rPr>
                <w:instrText xml:space="preserve">HYPERLINK  \l "_Toc1107766106_WPSOffice_Level1"</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第一部分  单位概况</w:t>
              </w:r>
            </w:sdtContent>
          </w:sdt>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bCs/>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949526292"/>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"_Toc1849204386_WPSOffice_Level2"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一、单位职责</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912863620"/>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"_Toc589032896_WPSOffice_Level2"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二、机构设置</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p>
        <w:p>
          <w:pPr>
            <w:pStyle w:val="31"/>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b/>
                <w:bCs/>
                <w:kern w:val="2"/>
                <w:sz w:val="32"/>
                <w:szCs w:val="32"/>
                <w:lang w:val="en-US" w:eastAsia="zh-CN" w:bidi="ar-SA"/>
              </w:rPr>
              <w:id w:val="809267587"/>
              <w:placeholder>
                <w:docPart w:val="6B0C53DD8AE848FCADCB9AC7FB06231B"/>
              </w:placeholder>
            </w:sdtPr>
            <w:sdtEndPr>
              <w:rPr>
                <w:rFonts w:hint="default" w:ascii="Times New Roman" w:hAnsi="Times New Roman" w:eastAsia="仿宋_GB2312" w:cs="Times New Roman"/>
                <w:b/>
                <w:bCs/>
                <w:kern w:val="2"/>
                <w:sz w:val="32"/>
                <w:szCs w:val="32"/>
                <w:lang w:val="en-US" w:eastAsia="zh-CN" w:bidi="ar-SA"/>
              </w:rPr>
            </w:sdtEndPr>
            <w:sdtContent>
              <w:r>
                <w:rPr>
                  <w:rFonts w:hint="default" w:ascii="Times New Roman" w:hAnsi="Times New Roman" w:eastAsia="仿宋_GB2312" w:cs="Times New Roman"/>
                  <w:b/>
                  <w:bCs/>
                  <w:sz w:val="32"/>
                  <w:szCs w:val="32"/>
                </w:rPr>
                <w:fldChar w:fldCharType="begin"/>
              </w:r>
              <w:r>
                <w:rPr>
                  <w:rFonts w:hint="default" w:ascii="Times New Roman" w:hAnsi="Times New Roman" w:cs="Times New Roman"/>
                </w:rPr>
                <w:instrText xml:space="preserve">HYPERLINK  \l "_Toc1849204386_WPSOffice_Level1"</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第二部分  2024年度部门决算情况说明</w:t>
              </w:r>
            </w:sdtContent>
          </w:sdt>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bCs/>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47644386"/>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"_Toc393514214_WPSOffice_Level2"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一、收入支出决算总体情况说明</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95095337"/>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"_Toc164695193_WPSOffice_Level2"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二、收入决算情况说明</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766792891"/>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"_Toc531164873_WPSOffice_Level2"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三、支出决算情况说明</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045568329"/>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"_Toc1151735017_WPSOffice_Level2"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四、财政拨款收入支出决算总体情况说明</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645772077"/>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"_Toc1547547655_WPSOffice_Level2"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五、一般公共预算财政拨款支出决算情况说明</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843115936"/>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"_Toc244000447_WPSOffice_Level2"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六、一般公共预算财政拨款基本支出决算情况说明</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12331616"/>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"_Toc1616087466_WPSOffice_Level2"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七、财政拨款“三公”经费支出决算情况说明</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16773961"/>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"_Toc1920178680_WPSOffice_Level2"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八、政府性基金预算支出决算情况说明</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666643650"/>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"_Toc833689989_WPSOffice_Level2"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九、国有资本经营预算支出决算情况说明</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555942669"/>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"_Toc1217347560_WPSOffice_Level2"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十、其他重要事项的情况说明</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fldChar w:fldCharType="end"/>
          </w:r>
        </w:p>
        <w:p>
          <w:pPr>
            <w:pStyle w:val="31"/>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b/>
                <w:bCs/>
                <w:kern w:val="2"/>
                <w:sz w:val="32"/>
                <w:szCs w:val="32"/>
                <w:lang w:val="en-US" w:eastAsia="zh-CN" w:bidi="ar-SA"/>
              </w:rPr>
              <w:id w:val="-1927710065"/>
              <w:placeholder>
                <w:docPart w:val="6B0C53DD8AE848FCADCB9AC7FB06231B"/>
              </w:placeholder>
            </w:sdtPr>
            <w:sdtEndPr>
              <w:rPr>
                <w:rFonts w:hint="default" w:ascii="Times New Roman" w:hAnsi="Times New Roman" w:eastAsia="仿宋_GB2312" w:cs="Times New Roman"/>
                <w:b/>
                <w:bCs/>
                <w:kern w:val="2"/>
                <w:sz w:val="32"/>
                <w:szCs w:val="32"/>
                <w:lang w:val="en-US" w:eastAsia="zh-CN" w:bidi="ar-SA"/>
              </w:rPr>
            </w:sdtEndPr>
            <w:sdtContent>
              <w:r>
                <w:rPr>
                  <w:rFonts w:hint="default" w:ascii="Times New Roman" w:hAnsi="Times New Roman" w:eastAsia="仿宋_GB2312" w:cs="Times New Roman"/>
                  <w:b/>
                  <w:bCs/>
                  <w:sz w:val="32"/>
                  <w:szCs w:val="32"/>
                </w:rPr>
                <w:fldChar w:fldCharType="begin"/>
              </w:r>
              <w:r>
                <w:rPr>
                  <w:rFonts w:hint="default" w:ascii="Times New Roman" w:hAnsi="Times New Roman" w:cs="Times New Roman"/>
                </w:rPr>
                <w:instrText xml:space="preserve">HYPERLINK  \l "_Toc589032896_WPSOffice_Level1"</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第三部分  名词解释</w:t>
              </w:r>
            </w:sdtContent>
          </w:sdt>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val="0"/>
              <w:bCs w:val="0"/>
              <w:sz w:val="32"/>
              <w:szCs w:val="32"/>
            </w:rPr>
            <w:t>16</w:t>
          </w:r>
          <w:r>
            <w:rPr>
              <w:rFonts w:hint="default" w:ascii="Times New Roman" w:hAnsi="Times New Roman" w:eastAsia="仿宋_GB2312" w:cs="Times New Roman"/>
              <w:b/>
              <w:bCs/>
              <w:sz w:val="32"/>
              <w:szCs w:val="32"/>
            </w:rPr>
            <w:fldChar w:fldCharType="end"/>
          </w:r>
        </w:p>
        <w:p>
          <w:pPr>
            <w:pStyle w:val="31"/>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b/>
                <w:bCs/>
                <w:kern w:val="2"/>
                <w:sz w:val="32"/>
                <w:szCs w:val="32"/>
                <w:lang w:val="en-US" w:eastAsia="zh-CN" w:bidi="ar-SA"/>
              </w:rPr>
              <w:id w:val="182751105"/>
              <w:placeholder>
                <w:docPart w:val="6B0C53DD8AE848FCADCB9AC7FB06231B"/>
              </w:placeholder>
            </w:sdtPr>
            <w:sdtEndPr>
              <w:rPr>
                <w:rFonts w:hint="default" w:ascii="Times New Roman" w:hAnsi="Times New Roman" w:eastAsia="仿宋_GB2312" w:cs="Times New Roman"/>
                <w:b/>
                <w:bCs/>
                <w:kern w:val="2"/>
                <w:sz w:val="32"/>
                <w:szCs w:val="32"/>
                <w:lang w:val="en-US" w:eastAsia="zh-CN" w:bidi="ar-SA"/>
              </w:rPr>
            </w:sdtEndPr>
            <w:sdtContent>
              <w:r>
                <w:rPr>
                  <w:rFonts w:hint="default" w:ascii="Times New Roman" w:hAnsi="Times New Roman" w:eastAsia="仿宋_GB2312" w:cs="Times New Roman"/>
                  <w:b/>
                  <w:bCs/>
                  <w:sz w:val="32"/>
                  <w:szCs w:val="32"/>
                </w:rPr>
                <w:fldChar w:fldCharType="begin"/>
              </w:r>
              <w:r>
                <w:rPr>
                  <w:rFonts w:hint="default" w:ascii="Times New Roman" w:hAnsi="Times New Roman" w:cs="Times New Roman"/>
                </w:rPr>
                <w:instrText xml:space="preserve">HYPERLINK  \l "_Toc393514214_WPSOffice_Level1"</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第四部分 附件</w:t>
              </w:r>
            </w:sdtContent>
          </w:sdt>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bCs/>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974558976"/>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"_Toc948421571_WPSOffice_Level2"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部门预算项目支出绩效自评表（2024年度）</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fldChar w:fldCharType="end"/>
          </w:r>
        </w:p>
        <w:p>
          <w:pPr>
            <w:pStyle w:val="31"/>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b/>
              <w:bCs/>
              <w:sz w:val="32"/>
              <w:szCs w:val="32"/>
            </w:rPr>
            <w:sectPr>
              <w:footerReference r:id="rId5" w:type="default"/>
              <w:pgSz w:w="11906" w:h="16838"/>
              <w:pgMar w:top="1440" w:right="1800" w:bottom="1440" w:left="1800" w:header="851" w:footer="992" w:gutter="0"/>
              <w:pgNumType w:fmt="numberInDash" w:start="1"/>
              <w:cols w:space="720" w:num="1"/>
              <w:docGrid w:type="lines" w:linePitch="312" w:charSpace="0"/>
            </w:sectPr>
          </w:pPr>
        </w:p>
        <w:p>
          <w:pPr>
            <w:pStyle w:val="31"/>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b/>
                <w:bCs/>
                <w:kern w:val="2"/>
                <w:sz w:val="32"/>
                <w:szCs w:val="32"/>
                <w:lang w:val="en-US" w:eastAsia="zh-CN" w:bidi="ar-SA"/>
              </w:rPr>
              <w:id w:val="631273801"/>
              <w:placeholder>
                <w:docPart w:val="6B0C53DD8AE848FCADCB9AC7FB06231B"/>
              </w:placeholder>
            </w:sdtPr>
            <w:sdtEndPr>
              <w:rPr>
                <w:rFonts w:hint="default" w:ascii="Times New Roman" w:hAnsi="Times New Roman" w:eastAsia="仿宋_GB2312" w:cs="Times New Roman"/>
                <w:b/>
                <w:bCs/>
                <w:kern w:val="2"/>
                <w:sz w:val="32"/>
                <w:szCs w:val="32"/>
                <w:lang w:val="en-US" w:eastAsia="zh-CN" w:bidi="ar-SA"/>
              </w:rPr>
            </w:sdtEndPr>
            <w:sdtContent>
              <w:r>
                <w:rPr>
                  <w:rFonts w:hint="default" w:ascii="Times New Roman" w:hAnsi="Times New Roman" w:eastAsia="仿宋_GB2312" w:cs="Times New Roman"/>
                  <w:b/>
                  <w:bCs/>
                  <w:sz w:val="32"/>
                  <w:szCs w:val="32"/>
                </w:rPr>
                <w:fldChar w:fldCharType="begin"/>
              </w:r>
              <w:r>
                <w:rPr>
                  <w:rFonts w:hint="default" w:ascii="Times New Roman" w:hAnsi="Times New Roman" w:cs="Times New Roman"/>
                </w:rPr>
                <w:instrText xml:space="preserve">HYPERLINK  \l "_Toc164695193_WPSOffice_Level1"</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第五部分 附表</w:t>
              </w:r>
            </w:sdtContent>
          </w:sdt>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bCs/>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991601104"/>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"_Toc578556115_WPSOffice_Level2"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一、收入支出决算总表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551979724"/>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"_Toc156460116_WPSOffice_Level2"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二、收入决算表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526122083"/>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"_Toc2143986275_WPSOffice_Level2"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三、支出决算表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542807505"/>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"_Toc10711307_WPSOffice_Level2"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四、财政拨款收入支出决算总表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738626630"/>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"_Toc2068557945_WPSOffice_Level2"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五、财政拨款支出决算明细表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649014854"/>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"_Toc840741862_WPSOffice_Level2"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六、一般公共预算财政拨款支出决算表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79870725"/>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"_Toc18848724_WPSOffice_Level2"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七、一般公共预算财政拨款支出决算明细表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901161241"/>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"_Toc887285252_WPSOffice_Level2"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八、一般公共预算财政拨款基本支出决算表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981422215"/>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"_Toc709481675_WPSOffice_Level2"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九、一般公共预算财政拨款项目支出决算表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2073379387"/>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"_Toc849077627_WPSOffice_Level2"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十、政府性基金预算财政拨款收入支出决算表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964621199"/>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"_Toc92204416_WPSOffice_Level2"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十一、国有资本经营预算财政拨款收入支出决算表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134360612"/>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"_Toc2061919945_WPSOffice_Level2"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十二、国有资本经营预算财政拨款支出决算表</w:t>
              </w:r>
            </w:sdtContent>
          </w:sdt>
          <w:r>
            <w:rPr>
              <w:rFonts w:hint="default" w:ascii="Times New Roman" w:hAnsi="Times New Roman" w:eastAsia="仿宋_GB2312" w:cs="Times New Roman"/>
              <w:sz w:val="32"/>
              <w:szCs w:val="32"/>
            </w:rPr>
            <w:tab/>
          </w: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p>
          <w:pPr>
            <w:pStyle w:val="32"/>
            <w:pageBreakBefore w:val="0"/>
            <w:tabs>
              <w:tab w:val="right" w:leader="dot" w:pos="8306"/>
            </w:tabs>
            <w:kinsoku/>
            <w:wordWrap/>
            <w:overflowPunct/>
            <w:topLinePunct w:val="0"/>
            <w:autoSpaceDE/>
            <w:autoSpaceDN/>
            <w:bidi w:val="0"/>
            <w:jc w:val="both"/>
            <w:textAlignment w:val="auto"/>
            <w:rPr>
              <w:rFonts w:hint="default" w:ascii="Times New Roman" w:hAnsi="Times New Roman" w:eastAsia="仿宋_GB2312" w:cs="Times New Roman"/>
              <w:sz w:val="32"/>
              <w:szCs w:val="32"/>
            </w:rPr>
          </w:pPr>
          <w:sdt>
            <w:sdtPr>
              <w:rPr>
                <w:rFonts w:hint="default" w:ascii="Times New Roman" w:hAnsi="Times New Roman" w:eastAsia="仿宋_GB2312" w:cs="Times New Roman"/>
                <w:kern w:val="2"/>
                <w:sz w:val="32"/>
                <w:szCs w:val="32"/>
                <w:lang w:val="en-US" w:eastAsia="zh-CN" w:bidi="ar-SA"/>
              </w:rPr>
              <w:id w:val="-492033615"/>
              <w:placeholder>
                <w:docPart w:val="6B0C53DD8AE848FCADCB9AC7FB06231B"/>
              </w:placeholder>
            </w:sdtPr>
            <w:sdtEndPr>
              <w:rPr>
                <w:rFonts w:hint="default" w:ascii="Times New Roman" w:hAnsi="Times New Roman" w:eastAsia="仿宋_GB2312" w:cs="Times New Roman"/>
                <w:kern w:val="2"/>
                <w:sz w:val="32"/>
                <w:szCs w:val="32"/>
                <w:lang w:val="en-US" w:eastAsia="zh-CN" w:bidi="ar-SA"/>
              </w:rPr>
            </w:sdtEndPr>
            <w:sdtContent>
              <w:r>
                <w:rPr>
                  <w:rFonts w:hint="default" w:ascii="Times New Roman" w:hAnsi="Times New Roman" w:eastAsia="仿宋_GB2312" w:cs="Times New Roman"/>
                  <w:sz w:val="32"/>
                  <w:szCs w:val="32"/>
                </w:rPr>
                <w:fldChar w:fldCharType="begin"/>
              </w:r>
              <w:r>
                <w:rPr>
                  <w:rFonts w:hint="default" w:ascii="Times New Roman" w:hAnsi="Times New Roman" w:cs="Times New Roman"/>
                </w:rPr>
                <w:instrText xml:space="preserve">HYPERLINK  \l "_Toc2112215658_WPSOffice_Level2"</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十三、财政拨款“三公”经费支出决算表</w:t>
              </w:r>
            </w:sdtContent>
          </w:sdt>
          <w:r>
            <w:rPr>
              <w:rFonts w:hint="default" w:ascii="Times New Roman" w:hAnsi="Times New Roman" w:eastAsia="仿宋_GB2312" w:cs="Times New Roman"/>
              <w:sz w:val="32"/>
              <w:szCs w:val="32"/>
            </w:rPr>
            <w:tab/>
          </w:r>
          <w:bookmarkStart w:id="7" w:name="_Toc2112215658_WPSOffice_Level2Page"/>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rPr>
            <w:fldChar w:fldCharType="end"/>
          </w:r>
        </w:p>
      </w:sdtContent>
    </w:sdt>
    <w:bookmarkEnd w:id="6"/>
    <w:bookmarkEnd w:id="7"/>
    <w:p>
      <w:pPr>
        <w:pStyle w:val="3"/>
        <w:keepNext/>
        <w:keepLines/>
        <w:pageBreakBefore w:val="0"/>
        <w:widowControl w:val="0"/>
        <w:kinsoku/>
        <w:wordWrap/>
        <w:overflowPunct/>
        <w:topLinePunct w:val="0"/>
        <w:autoSpaceDE/>
        <w:autoSpaceDN/>
        <w:bidi w:val="0"/>
        <w:jc w:val="both"/>
        <w:textAlignment w:val="auto"/>
        <w:rPr>
          <w:rFonts w:hint="default" w:ascii="Times New Roman" w:hAnsi="Times New Roman" w:eastAsia="仿宋_GB2312" w:cs="Times New Roman"/>
          <w:b/>
          <w:bCs/>
          <w:color w:val="auto"/>
          <w:sz w:val="32"/>
          <w:szCs w:val="32"/>
          <w:highlight w:val="none"/>
          <w:lang w:val="en-US" w:eastAsia="zh-CN"/>
        </w:rPr>
      </w:pPr>
      <w:bookmarkStart w:id="8" w:name="_Toc15377196"/>
      <w:bookmarkStart w:id="9" w:name="_Toc1107766106_WPSOffice_Level1"/>
      <w:bookmarkStart w:id="10" w:name="_Toc15396599"/>
      <w:r>
        <w:rPr>
          <w:rFonts w:hint="default" w:ascii="Times New Roman" w:hAnsi="Times New Roman" w:eastAsia="仿宋_GB2312" w:cs="Times New Roman"/>
          <w:b/>
          <w:bCs/>
          <w:color w:val="auto"/>
          <w:sz w:val="32"/>
          <w:szCs w:val="32"/>
          <w:highlight w:val="none"/>
          <w:lang w:val="en-US" w:eastAsia="zh-CN"/>
        </w:rPr>
        <w:t xml:space="preserve"> </w:t>
      </w:r>
    </w:p>
    <w:p>
      <w:pPr>
        <w:pStyle w:val="3"/>
        <w:keepNext/>
        <w:keepLines/>
        <w:pageBreakBefore w:val="0"/>
        <w:widowControl w:val="0"/>
        <w:kinsoku/>
        <w:wordWrap/>
        <w:overflowPunct/>
        <w:topLinePunct w:val="0"/>
        <w:autoSpaceDE/>
        <w:autoSpaceDN/>
        <w:bidi w:val="0"/>
        <w:jc w:val="both"/>
        <w:textAlignment w:val="auto"/>
        <w:rPr>
          <w:rFonts w:hint="default" w:ascii="Times New Roman" w:hAnsi="Times New Roman" w:eastAsia="仿宋_GB2312" w:cs="Times New Roman"/>
          <w:b/>
          <w:bCs/>
          <w:color w:val="auto"/>
          <w:sz w:val="32"/>
          <w:szCs w:val="32"/>
          <w:highlight w:val="none"/>
          <w:lang w:val="en-US" w:eastAsia="zh-CN"/>
        </w:rPr>
      </w:pPr>
    </w:p>
    <w:p>
      <w:pPr>
        <w:pageBreakBefore w:val="0"/>
        <w:widowControl w:val="0"/>
        <w:kinsoku/>
        <w:wordWrap/>
        <w:overflowPunct/>
        <w:topLinePunct w:val="0"/>
        <w:autoSpaceDE/>
        <w:autoSpaceDN/>
        <w:bidi w:val="0"/>
        <w:jc w:val="both"/>
        <w:textAlignment w:val="auto"/>
        <w:rPr>
          <w:rFonts w:hint="default" w:ascii="Times New Roman" w:hAnsi="Times New Roman" w:eastAsia="仿宋_GB2312" w:cs="Times New Roman"/>
          <w:b/>
          <w:bCs/>
          <w:color w:val="auto"/>
          <w:sz w:val="32"/>
          <w:szCs w:val="32"/>
          <w:highlight w:val="none"/>
          <w:lang w:val="en-US" w:eastAsia="zh-CN"/>
        </w:rPr>
      </w:pPr>
    </w:p>
    <w:p>
      <w:pPr>
        <w:pStyle w:val="2"/>
        <w:pageBreakBefore w:val="0"/>
        <w:widowControl w:val="0"/>
        <w:kinsoku/>
        <w:wordWrap/>
        <w:overflowPunct/>
        <w:topLinePunct w:val="0"/>
        <w:autoSpaceDE/>
        <w:autoSpaceDN/>
        <w:bidi w:val="0"/>
        <w:jc w:val="both"/>
        <w:textAlignment w:val="auto"/>
        <w:rPr>
          <w:rFonts w:hint="default" w:ascii="Times New Roman" w:hAnsi="Times New Roman" w:cs="Times New Roman"/>
          <w:lang w:val="en-US" w:eastAsia="zh-CN"/>
        </w:rPr>
      </w:pPr>
    </w:p>
    <w:p>
      <w:pPr>
        <w:pStyle w:val="3"/>
        <w:keepNext/>
        <w:keepLines/>
        <w:pageBreakBefore w:val="0"/>
        <w:widowControl w:val="0"/>
        <w:kinsoku/>
        <w:wordWrap/>
        <w:overflowPunct/>
        <w:topLinePunct w:val="0"/>
        <w:autoSpaceDE/>
        <w:autoSpaceDN/>
        <w:bidi w:val="0"/>
        <w:jc w:val="both"/>
        <w:textAlignment w:val="auto"/>
        <w:rPr>
          <w:rFonts w:hint="default" w:ascii="Times New Roman" w:hAnsi="Times New Roman" w:eastAsia="方正小标宋简体" w:cs="Times New Roman"/>
          <w:b w:val="0"/>
          <w:color w:val="auto"/>
          <w:highlight w:val="none"/>
        </w:rPr>
        <w:sectPr>
          <w:footerReference r:id="rId6" w:type="default"/>
          <w:pgSz w:w="11906" w:h="16838"/>
          <w:pgMar w:top="1440" w:right="1800" w:bottom="1440" w:left="1800" w:header="851" w:footer="992" w:gutter="0"/>
          <w:pgNumType w:fmt="numberInDash" w:start="1"/>
          <w:cols w:space="720" w:num="1"/>
          <w:docGrid w:type="lines" w:linePitch="312" w:charSpace="0"/>
        </w:sectPr>
      </w:pPr>
    </w:p>
    <w:p>
      <w:pPr>
        <w:pStyle w:val="3"/>
        <w:keepNext/>
        <w:keepLines/>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eastAsia="zh-CN"/>
        </w:rPr>
        <w:t>单位</w:t>
      </w:r>
      <w:r>
        <w:rPr>
          <w:rStyle w:val="20"/>
          <w:rFonts w:hint="default" w:ascii="Times New Roman" w:hAnsi="Times New Roman" w:eastAsia="方正小标宋简体" w:cs="Times New Roman"/>
          <w:b w:val="0"/>
          <w:bCs w:val="0"/>
          <w:color w:val="auto"/>
          <w:highlight w:val="none"/>
        </w:rPr>
        <w:t>概况</w:t>
      </w:r>
      <w:bookmarkEnd w:id="8"/>
      <w:bookmarkEnd w:id="9"/>
      <w:bookmarkEnd w:id="10"/>
    </w:p>
    <w:p>
      <w:pPr>
        <w:pStyle w:val="4"/>
        <w:keepNext/>
        <w:keepLines/>
        <w:pageBreakBefore w:val="0"/>
        <w:widowControl w:val="0"/>
        <w:numPr>
          <w:ilvl w:val="0"/>
          <w:numId w:val="1"/>
        </w:numPr>
        <w:kinsoku/>
        <w:wordWrap/>
        <w:overflowPunct/>
        <w:topLinePunct w:val="0"/>
        <w:autoSpaceDE/>
        <w:autoSpaceDN/>
        <w:bidi w:val="0"/>
        <w:jc w:val="both"/>
        <w:textAlignment w:val="auto"/>
        <w:rPr>
          <w:rFonts w:hint="default" w:ascii="Times New Roman" w:hAnsi="Times New Roman" w:eastAsia="黑体" w:cs="Times New Roman"/>
          <w:b w:val="0"/>
          <w:color w:val="auto"/>
          <w:highlight w:val="none"/>
          <w:lang w:eastAsia="zh-CN"/>
        </w:rPr>
      </w:pPr>
      <w:bookmarkStart w:id="11" w:name="_Toc1849204386_WPSOffice_Level2"/>
      <w:r>
        <w:rPr>
          <w:rFonts w:hint="default" w:ascii="Times New Roman" w:hAnsi="Times New Roman" w:eastAsia="黑体" w:cs="Times New Roman"/>
          <w:b w:val="0"/>
          <w:color w:val="auto"/>
          <w:highlight w:val="none"/>
          <w:lang w:eastAsia="zh-CN"/>
        </w:rPr>
        <w:t>单位职责</w:t>
      </w:r>
      <w:bookmarkEnd w:id="11"/>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bookmarkStart w:id="12" w:name="_Toc15377200"/>
      <w:bookmarkStart w:id="13" w:name="_Toc15396601"/>
      <w:r>
        <w:rPr>
          <w:rFonts w:hint="default" w:ascii="Times New Roman" w:hAnsi="Times New Roman" w:eastAsia="仿宋_GB2312" w:cs="Times New Roman"/>
          <w:b w:val="0"/>
          <w:bCs w:val="0"/>
          <w:kern w:val="2"/>
          <w:sz w:val="32"/>
          <w:szCs w:val="32"/>
          <w:lang w:val="en-US" w:eastAsia="zh-CN" w:bidi="ar-SA"/>
        </w:rPr>
        <w:t>1.</w:t>
      </w:r>
      <w:r>
        <w:rPr>
          <w:rFonts w:hint="default" w:ascii="Times New Roman" w:hAnsi="Times New Roman" w:eastAsia="仿宋_GB2312" w:cs="Times New Roman"/>
          <w:color w:val="auto"/>
          <w:sz w:val="32"/>
          <w:szCs w:val="32"/>
        </w:rPr>
        <w:t>贯彻执行国家有关水行政管理和水利水电工程移民工作的方针政策和法律法规,拟订有关具体政策措施并组织实施。负责保障水资源的合理开发利用,拟订水利规划和政策,组织编制全市水资源综合规划和重要江河湖泊的流域综合规划、防洪规划、水网建设规划等重大水利规划。</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kern w:val="2"/>
          <w:sz w:val="32"/>
          <w:szCs w:val="32"/>
          <w:lang w:val="en-US" w:eastAsia="zh-CN" w:bidi="ar-SA"/>
        </w:rPr>
        <w:t>2.</w:t>
      </w:r>
      <w:r>
        <w:rPr>
          <w:rFonts w:hint="default" w:ascii="Times New Roman" w:hAnsi="Times New Roman" w:eastAsia="仿宋_GB2312" w:cs="Times New Roman"/>
          <w:color w:val="auto"/>
          <w:sz w:val="32"/>
          <w:szCs w:val="32"/>
        </w:rPr>
        <w:t>负责生活、生产经营和生态环境用水的统筹和保障,组织实施“大水调”。组织实施最严格水资源管理制度,实施水资源的统一监督管理,拟订全市和跨县(区)水中长期供求</w:t>
      </w:r>
      <w:r>
        <w:rPr>
          <w:rFonts w:hint="default" w:ascii="Times New Roman" w:hAnsi="Times New Roman" w:eastAsia="仿宋_GB2312" w:cs="Times New Roman"/>
          <w:color w:val="auto"/>
          <w:sz w:val="32"/>
          <w:szCs w:val="32"/>
          <w:lang w:eastAsia="zh-CN"/>
        </w:rPr>
        <w:t>规</w:t>
      </w:r>
      <w:r>
        <w:rPr>
          <w:rFonts w:hint="default" w:ascii="Times New Roman" w:hAnsi="Times New Roman" w:eastAsia="仿宋_GB2312" w:cs="Times New Roman"/>
          <w:color w:val="auto"/>
          <w:sz w:val="32"/>
          <w:szCs w:val="32"/>
        </w:rPr>
        <w:t>划、水量分配方案并监督实施。负责重要流域、区域及重大调水工程的水资源调度。组织实施取水许可、水资源有偿使用、水资源论证、水权和防洪论证制度。指导水利行业供水、乡镇和村供水及乡村水务工作。</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kern w:val="2"/>
          <w:sz w:val="32"/>
          <w:szCs w:val="32"/>
          <w:lang w:val="en-US" w:eastAsia="zh-CN" w:bidi="ar-SA"/>
        </w:rPr>
        <w:t>3.</w:t>
      </w:r>
      <w:r>
        <w:rPr>
          <w:rFonts w:hint="default" w:ascii="Times New Roman" w:hAnsi="Times New Roman" w:eastAsia="仿宋_GB2312" w:cs="Times New Roman"/>
          <w:color w:val="auto"/>
          <w:sz w:val="32"/>
          <w:szCs w:val="32"/>
        </w:rPr>
        <w:t>负责提出水利固定资产投资建议并组织指导实施,按照规定权限审批、核准相关固定资产投资项目,提出市级水利投资建议并监督实施。承担水利水电工程移民资金管理和监督工作,审核下达市管水利水电工程移民安置年度任务及资金计划。指导水利产业经济发展和水利投融资工作。</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kern w:val="2"/>
          <w:sz w:val="32"/>
          <w:szCs w:val="32"/>
          <w:lang w:val="en-US" w:eastAsia="zh-CN" w:bidi="ar-SA"/>
        </w:rPr>
        <w:t>4.</w:t>
      </w:r>
      <w:r>
        <w:rPr>
          <w:rFonts w:hint="default" w:ascii="Times New Roman" w:hAnsi="Times New Roman" w:eastAsia="仿宋_GB2312" w:cs="Times New Roman"/>
          <w:color w:val="auto"/>
          <w:sz w:val="32"/>
          <w:szCs w:val="32"/>
        </w:rPr>
        <w:t>负责水资源保护工作。组织编制并实施水资源保护规划。指导饮用水水源保护工作,指导地下水开发利用和地下水资源管理保护。组织指导地下水超采区综合治理。参与编制水功能区划和指导入河排污口设置管理工作。</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SA"/>
        </w:rPr>
        <w:t>5.</w:t>
      </w:r>
      <w:r>
        <w:rPr>
          <w:rFonts w:hint="default" w:ascii="Times New Roman" w:hAnsi="Times New Roman" w:eastAsia="仿宋_GB2312" w:cs="Times New Roman"/>
          <w:color w:val="auto"/>
          <w:sz w:val="32"/>
          <w:szCs w:val="32"/>
        </w:rPr>
        <w:t>负责节约用水工作。拟订全市节约用水政策,组织编制节约用水规划并监督实施,执行国家、行业和省级标准,组织制定地方标准。组织实施用水总量控制等管理制度,指导和推动节水型社会建设工作。</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kern w:val="2"/>
          <w:sz w:val="32"/>
          <w:szCs w:val="32"/>
          <w:lang w:val="en-US" w:eastAsia="zh-CN" w:bidi="ar-SA"/>
        </w:rPr>
        <w:t>6.</w:t>
      </w:r>
      <w:r>
        <w:rPr>
          <w:rFonts w:hint="default" w:ascii="Times New Roman" w:hAnsi="Times New Roman" w:eastAsia="仿宋_GB2312" w:cs="Times New Roman"/>
          <w:color w:val="auto"/>
          <w:sz w:val="32"/>
          <w:szCs w:val="32"/>
        </w:rPr>
        <w:t>负责水文工作。负责水文水资源动态监测。对江河湖库和地下水实施监测,发布水文水资源信息、情报预报和全市水资源公报。按规定组织开展水资源、水能资源调查评价和水资源承载能力监测预警工作。</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kern w:val="2"/>
          <w:sz w:val="32"/>
          <w:szCs w:val="32"/>
          <w:lang w:val="en-US" w:eastAsia="zh-CN" w:bidi="ar-SA"/>
        </w:rPr>
        <w:t>7.</w:t>
      </w:r>
      <w:r>
        <w:rPr>
          <w:rFonts w:hint="default" w:ascii="Times New Roman" w:hAnsi="Times New Roman" w:eastAsia="仿宋_GB2312" w:cs="Times New Roman"/>
          <w:color w:val="auto"/>
          <w:sz w:val="32"/>
          <w:szCs w:val="32"/>
        </w:rPr>
        <w:t>指导水利设施、水域及其岸线的管理、保护与综合利用。组织指导水利基础设施网络建设。指导全市重要江河、湖泊、水库、滩涂的治理、开发和保护。指导河湖水生态保护与修复、河湖生态流量水量管理及河湖水系连通工作。负责河道采砂的统一监督管理工作。负责统筹协调全市河湖长制工作。</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color w:val="auto"/>
          <w:sz w:val="32"/>
          <w:szCs w:val="32"/>
        </w:rPr>
        <w:t>指导监督水利工程建设与运行管理。组织实施具有控制性和跨县(区)水利工程建设与运行管理,组织指导水利工程管理体制改革。组织拟订并协调落实重要水利工程建设、运行管理的有关政策措施,指导监督水利工程安全运行,组织水利工程验收有关工作,督促指导协调县(区)配套工程建设。</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color w:val="auto"/>
          <w:sz w:val="32"/>
          <w:szCs w:val="32"/>
        </w:rPr>
        <w:t>负责水土保持工作。拟订水土保持规划并监督实施,组织实施全市水土流失的综合防治,按照规定权限负责建设项</w:t>
      </w:r>
      <w:r>
        <w:rPr>
          <w:rFonts w:hint="default" w:ascii="Times New Roman" w:hAnsi="Times New Roman" w:eastAsia="仿宋_GB2312" w:cs="Times New Roman"/>
          <w:color w:val="auto"/>
          <w:sz w:val="32"/>
          <w:szCs w:val="32"/>
          <w:lang w:eastAsia="zh-CN"/>
        </w:rPr>
        <w:t>目</w:t>
      </w:r>
      <w:r>
        <w:rPr>
          <w:rFonts w:hint="default" w:ascii="Times New Roman" w:hAnsi="Times New Roman" w:eastAsia="仿宋_GB2312" w:cs="Times New Roman"/>
          <w:color w:val="auto"/>
          <w:sz w:val="32"/>
          <w:szCs w:val="32"/>
        </w:rPr>
        <w:t>水土保持监督管理工作,指导重点水土保持建设项目的实施。</w:t>
      </w:r>
    </w:p>
    <w:p>
      <w:pPr>
        <w:pageBreakBefore w:val="0"/>
        <w:widowControl w:val="0"/>
        <w:kinsoku/>
        <w:wordWrap/>
        <w:overflowPunct/>
        <w:topLinePunct w:val="0"/>
        <w:autoSpaceDE/>
        <w:autoSpaceDN/>
        <w:bidi w:val="0"/>
        <w:snapToGrid w:val="0"/>
        <w:spacing w:line="520" w:lineRule="exact"/>
        <w:ind w:right="-57" w:rightChars="-27"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10</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指导农村水利工作。组织开展大中型灌排工程建设与改造。指导农村饮水安全工程建设管理工作。指导节水灌溉有关工作。协调牧区水利工作。指导农村水利改革创新和社会化服务体系建设。</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负责水利水电工程移民管理工作。监督管理大中型水利水电工程移民工作。在移民安置规划编审过程中提出意见,按要求确认上报。指导、协调和监督移民安置实施工作。监督管理移民资金。组织开展移民安置验收相关工作。组织开展移民后期扶持政策实施工作。负责移民信访和政策宣传工作,协调、指导有关社会稳定工作。</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12</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负责水资源配置、集约节约利用和保护工作,配合做好水资源督察相关工作。负责重大涉水违法事件的查处,协调、仲裁跨县(区)水事纠纷,指导水行政监督和水行政执法。负责水利建设工程项目招标投标活动的监督执法。依法负责水利行业安全生产工作,组织指导水利工程安全监管。指导水利建设市场的监督管理,组织实施水利工程建设的监督。</w:t>
      </w:r>
    </w:p>
    <w:p>
      <w:pPr>
        <w:pageBreakBefore w:val="0"/>
        <w:widowControl w:val="0"/>
        <w:kinsoku/>
        <w:wordWrap/>
        <w:overflowPunct/>
        <w:topLinePunct w:val="0"/>
        <w:autoSpaceDE/>
        <w:autoSpaceDN/>
        <w:bidi w:val="0"/>
        <w:snapToGrid w:val="0"/>
        <w:spacing w:line="520" w:lineRule="exact"/>
        <w:ind w:right="-57" w:rightChars="-27"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color w:val="auto"/>
          <w:sz w:val="32"/>
          <w:szCs w:val="32"/>
        </w:rPr>
        <w:t>开展水利科技和对外合作交流工作。组织开展水利行业质量监督工作,拟订水利行业的地方技术标准、规程规范并监督实施,组织重大水利科学研究、技术推广和成果管理,承担水利统计工作。</w:t>
      </w:r>
    </w:p>
    <w:p>
      <w:pPr>
        <w:pageBreakBefore w:val="0"/>
        <w:widowControl w:val="0"/>
        <w:kinsoku/>
        <w:wordWrap/>
        <w:overflowPunct/>
        <w:topLinePunct w:val="0"/>
        <w:autoSpaceDE/>
        <w:autoSpaceDN/>
        <w:bidi w:val="0"/>
        <w:snapToGrid w:val="0"/>
        <w:spacing w:line="520" w:lineRule="exact"/>
        <w:ind w:right="-57" w:rightChars="-27"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color w:val="auto"/>
          <w:sz w:val="32"/>
          <w:szCs w:val="32"/>
        </w:rPr>
        <w:t>负责落实综合防灾减灾规划相关要求,组织编制洪水干旱灾害防治规划并指导实施,执行防护标准。组织指导重要流域水旱灾害联防联控。承担水情旱情监测预警工作。组织编制重要江河湖泊和重要水工程防御洪水、抗御旱灾调度及应急水量调度方案,按程序报批并组织实施。承担防御洪水应急抢险的技术支撑工作。</w:t>
      </w:r>
    </w:p>
    <w:p>
      <w:pPr>
        <w:pageBreakBefore w:val="0"/>
        <w:widowControl w:val="0"/>
        <w:kinsoku/>
        <w:wordWrap/>
        <w:overflowPunct/>
        <w:topLinePunct w:val="0"/>
        <w:autoSpaceDE/>
        <w:autoSpaceDN/>
        <w:bidi w:val="0"/>
        <w:snapToGrid w:val="0"/>
        <w:spacing w:line="520" w:lineRule="exact"/>
        <w:ind w:right="-57" w:rightChars="-27"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负责职责范围内的安全生产和职业健康、生态环境保护、审批服务便民化等工作。</w:t>
      </w:r>
    </w:p>
    <w:p>
      <w:pPr>
        <w:pageBreakBefore w:val="0"/>
        <w:widowControl w:val="0"/>
        <w:kinsoku/>
        <w:wordWrap/>
        <w:overflowPunct/>
        <w:topLinePunct w:val="0"/>
        <w:autoSpaceDE/>
        <w:autoSpaceDN/>
        <w:bidi w:val="0"/>
        <w:snapToGrid w:val="0"/>
        <w:spacing w:line="520" w:lineRule="exact"/>
        <w:ind w:right="-57" w:rightChars="-27"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完成市委、市政府交办的其他任务。</w:t>
      </w:r>
    </w:p>
    <w:p>
      <w:pPr>
        <w:pStyle w:val="4"/>
        <w:keepNext/>
        <w:keepLines/>
        <w:pageBreakBefore w:val="0"/>
        <w:widowControl w:val="0"/>
        <w:kinsoku/>
        <w:wordWrap/>
        <w:overflowPunct/>
        <w:topLinePunct w:val="0"/>
        <w:autoSpaceDE/>
        <w:autoSpaceDN/>
        <w:bidi w:val="0"/>
        <w:jc w:val="both"/>
        <w:textAlignment w:val="auto"/>
        <w:rPr>
          <w:rStyle w:val="21"/>
          <w:rFonts w:hint="default" w:ascii="Times New Roman" w:hAnsi="Times New Roman" w:cs="Times New Roman"/>
          <w:b w:val="0"/>
          <w:bCs w:val="0"/>
          <w:color w:val="auto"/>
          <w:highlight w:val="none"/>
        </w:rPr>
      </w:pPr>
      <w:r>
        <w:rPr>
          <w:rFonts w:hint="default" w:ascii="Times New Roman" w:hAnsi="Times New Roman" w:cs="Times New Roman"/>
          <w:b w:val="0"/>
          <w:bCs w:val="0"/>
          <w:kern w:val="2"/>
          <w:sz w:val="32"/>
          <w:szCs w:val="32"/>
          <w:lang w:val="en-US" w:eastAsia="zh-CN" w:bidi="ar-SA"/>
        </w:rPr>
        <w:t xml:space="preserve"> </w:t>
      </w:r>
      <w:bookmarkStart w:id="14" w:name="_Toc589032896_WPSOffice_Level2"/>
      <w:r>
        <w:rPr>
          <w:rFonts w:hint="default" w:ascii="Times New Roman" w:hAnsi="Times New Roman" w:eastAsia="黑体" w:cs="Times New Roman"/>
          <w:b w:val="0"/>
          <w:color w:val="auto"/>
          <w:highlight w:val="none"/>
        </w:rPr>
        <w:t>二、机</w:t>
      </w:r>
      <w:r>
        <w:rPr>
          <w:rStyle w:val="21"/>
          <w:rFonts w:hint="default" w:ascii="Times New Roman" w:hAnsi="Times New Roman" w:eastAsia="黑体" w:cs="Times New Roman"/>
          <w:b w:val="0"/>
          <w:bCs w:val="0"/>
          <w:color w:val="auto"/>
          <w:highlight w:val="none"/>
        </w:rPr>
        <w:t>构设置</w:t>
      </w:r>
      <w:bookmarkEnd w:id="12"/>
      <w:bookmarkEnd w:id="13"/>
      <w:bookmarkEnd w:id="14"/>
    </w:p>
    <w:p>
      <w:pPr>
        <w:pageBreakBefore w:val="0"/>
        <w:widowControl w:val="0"/>
        <w:kinsoku/>
        <w:wordWrap/>
        <w:overflowPunct/>
        <w:topLinePunct w:val="0"/>
        <w:autoSpaceDE/>
        <w:autoSpaceDN/>
        <w:bidi w:val="0"/>
        <w:ind w:firstLine="800" w:firstLineChars="25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四川省攀枝花市水利局下属二级单位</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个，其中独立核算行政单位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个，参照公务员法管理的事业单位</w:t>
      </w:r>
      <w:r>
        <w:rPr>
          <w:rFonts w:hint="default"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个，其他</w:t>
      </w:r>
      <w:r>
        <w:rPr>
          <w:rFonts w:hint="default" w:ascii="Times New Roman" w:hAnsi="Times New Roman" w:eastAsia="仿宋_GB2312" w:cs="Times New Roman"/>
          <w:color w:val="auto"/>
          <w:sz w:val="32"/>
          <w:szCs w:val="32"/>
          <w:highlight w:val="none"/>
          <w:lang w:eastAsia="zh-CN"/>
        </w:rPr>
        <w:t>非独立核算</w:t>
      </w:r>
      <w:r>
        <w:rPr>
          <w:rFonts w:hint="default" w:ascii="Times New Roman" w:hAnsi="Times New Roman" w:eastAsia="仿宋_GB2312" w:cs="Times New Roman"/>
          <w:color w:val="auto"/>
          <w:sz w:val="32"/>
          <w:szCs w:val="32"/>
          <w:highlight w:val="none"/>
        </w:rPr>
        <w:t>事业单位</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w:t>
      </w:r>
    </w:p>
    <w:p>
      <w:pPr>
        <w:pStyle w:val="2"/>
        <w:pageBreakBefore w:val="0"/>
        <w:widowControl w:val="0"/>
        <w:kinsoku/>
        <w:wordWrap/>
        <w:overflowPunct/>
        <w:topLinePunct w:val="0"/>
        <w:autoSpaceDE/>
        <w:autoSpaceDN/>
        <w:bidi w:val="0"/>
        <w:adjustRightInd w:val="0"/>
        <w:snapToGrid w:val="0"/>
        <w:spacing w:before="93" w:beforeLines="0" w:line="600" w:lineRule="exact"/>
        <w:ind w:firstLine="668" w:firstLineChars="209"/>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纳入</w:t>
      </w:r>
      <w:r>
        <w:rPr>
          <w:rFonts w:hint="default" w:ascii="Times New Roman" w:hAnsi="Times New Roman" w:cs="Times New Roman"/>
          <w:sz w:val="32"/>
          <w:szCs w:val="32"/>
        </w:rPr>
        <w:t>四川省攀枝花市水利局（本级）</w:t>
      </w:r>
      <w:r>
        <w:rPr>
          <w:rFonts w:hint="default" w:ascii="Times New Roman" w:hAnsi="Times New Roman" w:eastAsia="仿宋_GB2312" w:cs="Times New Roman"/>
          <w:color w:val="auto"/>
          <w:sz w:val="32"/>
          <w:szCs w:val="32"/>
          <w:highlight w:val="none"/>
          <w:lang w:eastAsia="zh-CN"/>
        </w:rPr>
        <w:t>2024年度</w:t>
      </w:r>
      <w:r>
        <w:rPr>
          <w:rFonts w:hint="default" w:ascii="Times New Roman" w:hAnsi="Times New Roman" w:eastAsia="仿宋_GB2312" w:cs="Times New Roman"/>
          <w:color w:val="auto"/>
          <w:sz w:val="32"/>
          <w:szCs w:val="32"/>
          <w:highlight w:val="none"/>
        </w:rPr>
        <w:t>部门决算编制范围的</w:t>
      </w:r>
      <w:r>
        <w:rPr>
          <w:rFonts w:hint="default" w:ascii="Times New Roman" w:hAnsi="Times New Roman" w:cs="Times New Roman"/>
          <w:color w:val="auto"/>
          <w:sz w:val="32"/>
          <w:szCs w:val="32"/>
          <w:highlight w:val="none"/>
          <w:lang w:eastAsia="zh-CN"/>
        </w:rPr>
        <w:t>所属</w:t>
      </w:r>
      <w:r>
        <w:rPr>
          <w:rFonts w:hint="default" w:ascii="Times New Roman" w:hAnsi="Times New Roman" w:eastAsia="仿宋_GB2312" w:cs="Times New Roman"/>
          <w:color w:val="auto"/>
          <w:sz w:val="32"/>
          <w:szCs w:val="32"/>
          <w:highlight w:val="none"/>
        </w:rPr>
        <w:t>预算单位包括：</w:t>
      </w:r>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1"/>
        <w:rPr>
          <w:rFonts w:hint="default" w:ascii="Times New Roman" w:hAnsi="Times New Roman" w:eastAsia="仿宋_GB2312" w:cs="Times New Roman"/>
          <w:lang w:val="en-US" w:eastAsia="zh-CN"/>
        </w:rPr>
      </w:pPr>
      <w:bookmarkStart w:id="15" w:name="_Toc15377202"/>
      <w:bookmarkStart w:id="16" w:name="_Toc15377433"/>
      <w:bookmarkStart w:id="17" w:name="_Toc15378450"/>
      <w:bookmarkStart w:id="18" w:name="_Toc15377434"/>
      <w:bookmarkStart w:id="19" w:name="_Toc15306276"/>
      <w:bookmarkStart w:id="20" w:name="_Toc15377203"/>
      <w:bookmarkStart w:id="21" w:name="_Toc15378449"/>
      <w:bookmarkStart w:id="22" w:name="_Toc15306277"/>
      <w:r>
        <w:rPr>
          <w:rFonts w:hint="default" w:ascii="Times New Roman" w:hAnsi="Times New Roman" w:eastAsia="仿宋_GB2312" w:cs="Times New Roman"/>
          <w:sz w:val="32"/>
          <w:szCs w:val="32"/>
          <w:lang w:eastAsia="zh-CN"/>
        </w:rPr>
        <w:t xml:space="preserve">1. </w:t>
      </w:r>
      <w:r>
        <w:rPr>
          <w:rFonts w:hint="default" w:ascii="Times New Roman" w:hAnsi="Times New Roman" w:eastAsia="仿宋_GB2312" w:cs="Times New Roman"/>
          <w:sz w:val="32"/>
          <w:szCs w:val="32"/>
          <w:lang w:val="en-US" w:eastAsia="zh-CN"/>
        </w:rPr>
        <w:t>攀枝花市水利局机关</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．攀枝花</w:t>
      </w:r>
      <w:r>
        <w:rPr>
          <w:rFonts w:hint="default" w:ascii="Times New Roman" w:hAnsi="Times New Roman" w:eastAsia="仿宋_GB2312" w:cs="Times New Roman"/>
          <w:color w:val="auto"/>
          <w:sz w:val="32"/>
          <w:szCs w:val="32"/>
          <w:lang w:val="en-US" w:eastAsia="zh-CN"/>
        </w:rPr>
        <w:t>市水利工程质量与安全中心</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攀枝花市水资源河湖保护中心</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 w:cs="Times New Roman"/>
          <w:kern w:val="0"/>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攀枝花市水资源配置工程推进中心</w:t>
      </w:r>
    </w:p>
    <w:p>
      <w:pPr>
        <w:pageBreakBefore w:val="0"/>
        <w:widowControl w:val="0"/>
        <w:kinsoku/>
        <w:wordWrap/>
        <w:overflowPunct/>
        <w:topLinePunct w:val="0"/>
        <w:autoSpaceDE/>
        <w:autoSpaceDN/>
        <w:bidi w:val="0"/>
        <w:jc w:val="both"/>
        <w:textAlignment w:val="auto"/>
        <w:outlineLvl w:val="1"/>
        <w:rPr>
          <w:rFonts w:hint="default" w:ascii="Times New Roman" w:hAnsi="Times New Roman" w:cs="Times New Roman"/>
        </w:rPr>
      </w:pPr>
    </w:p>
    <w:bookmarkEnd w:id="15"/>
    <w:bookmarkEnd w:id="16"/>
    <w:bookmarkEnd w:id="17"/>
    <w:bookmarkEnd w:id="18"/>
    <w:bookmarkEnd w:id="19"/>
    <w:bookmarkEnd w:id="20"/>
    <w:bookmarkEnd w:id="21"/>
    <w:bookmarkEnd w:id="22"/>
    <w:p>
      <w:pPr>
        <w:pageBreakBefore w:val="0"/>
        <w:widowControl/>
        <w:kinsoku/>
        <w:wordWrap/>
        <w:overflowPunct/>
        <w:topLinePunct w:val="0"/>
        <w:autoSpaceDE/>
        <w:autoSpaceDN/>
        <w:bidi w:val="0"/>
        <w:jc w:val="both"/>
        <w:textAlignment w:val="auto"/>
        <w:outlineLvl w:val="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3"/>
        <w:keepNext/>
        <w:keepLines/>
        <w:pageBreakBefore w:val="0"/>
        <w:widowControl w:val="0"/>
        <w:kinsoku/>
        <w:wordWrap/>
        <w:overflowPunct/>
        <w:topLinePunct w:val="0"/>
        <w:autoSpaceDE/>
        <w:autoSpaceDN/>
        <w:bidi w:val="0"/>
        <w:jc w:val="both"/>
        <w:textAlignment w:val="auto"/>
        <w:rPr>
          <w:rFonts w:hint="default" w:ascii="Times New Roman" w:hAnsi="Times New Roman" w:eastAsia="方正小标宋简体" w:cs="Times New Roman"/>
          <w:b w:val="0"/>
          <w:color w:val="auto"/>
          <w:highlight w:val="none"/>
        </w:rPr>
      </w:pPr>
      <w:bookmarkStart w:id="23" w:name="_Toc15377204"/>
      <w:bookmarkStart w:id="24" w:name="_Toc15396602"/>
      <w:bookmarkStart w:id="25" w:name="_Toc1849204386_WPSOffice_Level1"/>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rPr>
        <w:t>部门决算情况说明</w:t>
      </w:r>
      <w:bookmarkEnd w:id="23"/>
      <w:bookmarkEnd w:id="24"/>
      <w:bookmarkEnd w:id="25"/>
    </w:p>
    <w:p>
      <w:pPr>
        <w:pageBreakBefore w:val="0"/>
        <w:widowControl w:val="0"/>
        <w:kinsoku/>
        <w:wordWrap/>
        <w:overflowPunct/>
        <w:topLinePunct w:val="0"/>
        <w:autoSpaceDE/>
        <w:autoSpaceDN/>
        <w:bidi w:val="0"/>
        <w:jc w:val="both"/>
        <w:textAlignment w:val="auto"/>
        <w:rPr>
          <w:rFonts w:hint="default" w:ascii="Times New Roman" w:hAnsi="Times New Roman" w:cs="Times New Roman"/>
          <w:color w:val="auto"/>
          <w:highlight w:val="none"/>
        </w:rPr>
      </w:pPr>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1"/>
        <w:rPr>
          <w:rStyle w:val="21"/>
          <w:rFonts w:hint="default" w:ascii="Times New Roman" w:hAnsi="Times New Roman" w:eastAsia="黑体" w:cs="Times New Roman"/>
          <w:b w:val="0"/>
          <w:color w:val="auto"/>
          <w:highlight w:val="none"/>
        </w:rPr>
      </w:pPr>
      <w:bookmarkStart w:id="26" w:name="_Toc15377205"/>
      <w:bookmarkStart w:id="27" w:name="_Toc15396603"/>
      <w:bookmarkStart w:id="28" w:name="_Toc393514214_WPSOffice_Level2"/>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1"/>
          <w:rFonts w:hint="default" w:ascii="Times New Roman" w:hAnsi="Times New Roman" w:eastAsia="黑体" w:cs="Times New Roman"/>
          <w:b w:val="0"/>
          <w:color w:val="auto"/>
          <w:highlight w:val="none"/>
        </w:rPr>
        <w:t>入支出决算总体情况说明</w:t>
      </w:r>
      <w:bookmarkEnd w:id="26"/>
      <w:bookmarkEnd w:id="27"/>
      <w:bookmarkEnd w:id="28"/>
    </w:p>
    <w:p>
      <w:pPr>
        <w:pStyle w:val="6"/>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2001.28</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sz w:val="32"/>
          <w:szCs w:val="32"/>
          <w:lang w:val="en-US" w:eastAsia="zh-CN"/>
        </w:rPr>
        <w:t>434.26</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17.83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lang w:val="en-US" w:eastAsia="zh-CN"/>
        </w:rPr>
        <w:t>减少的主要原因：一是2024年机构改革，参公机构水政监察执法支队连人带编划转到市应急管理局，相应人员经费和公用经费减少；二是项目预算减少。</w:t>
      </w:r>
    </w:p>
    <w:p>
      <w:pPr>
        <w:keepNext w:val="0"/>
        <w:keepLines w:val="0"/>
        <w:pageBreakBefore w:val="0"/>
        <w:widowControl w:val="0"/>
        <w:kinsoku/>
        <w:wordWrap/>
        <w:overflowPunct/>
        <w:topLinePunct w:val="0"/>
        <w:autoSpaceDE/>
        <w:autoSpaceDN/>
        <w:bidi w:val="0"/>
        <w:adjustRightInd/>
        <w:snapToGrid/>
        <w:ind w:firstLine="320" w:firstLine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auto"/>
          <w:sz w:val="32"/>
          <w:szCs w:val="32"/>
          <w:highlight w:val="none"/>
        </w:rPr>
      </w:pPr>
      <w:r>
        <w:drawing>
          <wp:inline distT="0" distB="0" distL="114300" distR="114300">
            <wp:extent cx="4572000" cy="3028950"/>
            <wp:effectExtent l="4445" t="4445" r="14605" b="14605"/>
            <wp:docPr id="104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rPr>
          <w:rFonts w:hint="default"/>
        </w:rPr>
      </w:pPr>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1"/>
        <w:rPr>
          <w:rFonts w:hint="default" w:ascii="Times New Roman" w:hAnsi="Times New Roman" w:eastAsia="黑体" w:cs="Times New Roman"/>
          <w:color w:val="auto"/>
          <w:sz w:val="32"/>
          <w:szCs w:val="32"/>
          <w:highlight w:val="none"/>
          <w:lang w:eastAsia="zh-CN"/>
        </w:rPr>
      </w:pPr>
      <w:bookmarkStart w:id="29" w:name="_Toc164695193_WPSOffice_Level2"/>
      <w:bookmarkStart w:id="30" w:name="_Toc15396604"/>
      <w:bookmarkStart w:id="31" w:name="_Toc15377206"/>
      <w:r>
        <w:rPr>
          <w:rFonts w:hint="default" w:ascii="Times New Roman" w:hAnsi="Times New Roman" w:eastAsia="黑体" w:cs="Times New Roman"/>
          <w:color w:val="auto"/>
          <w:sz w:val="32"/>
          <w:szCs w:val="32"/>
          <w:highlight w:val="none"/>
          <w:lang w:eastAsia="zh-CN"/>
        </w:rPr>
        <w:t>二、收入决算情况说明</w:t>
      </w:r>
      <w:bookmarkEnd w:id="29"/>
      <w:bookmarkEnd w:id="30"/>
      <w:bookmarkEnd w:id="31"/>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1"/>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2001.28万元，其中：一般公共预算财政拨款收入1728.94</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86.39</w:t>
      </w:r>
      <w:r>
        <w:rPr>
          <w:rFonts w:hint="default" w:ascii="Times New Roman" w:hAnsi="Times New Roman" w:eastAsia="仿宋_GB2312" w:cs="Times New Roman"/>
          <w:color w:val="auto"/>
          <w:sz w:val="32"/>
          <w:szCs w:val="32"/>
          <w:highlight w:val="none"/>
          <w:lang w:eastAsia="zh-CN"/>
        </w:rPr>
        <w:t>%；政府性基金预算财政拨款收入</w:t>
      </w:r>
      <w:r>
        <w:rPr>
          <w:rFonts w:hint="default" w:ascii="Times New Roman" w:hAnsi="Times New Roman" w:eastAsia="仿宋_GB2312" w:cs="Times New Roman"/>
          <w:sz w:val="32"/>
          <w:szCs w:val="32"/>
        </w:rPr>
        <w:t>272.34</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13.6</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sz w:val="32"/>
          <w:szCs w:val="32"/>
          <w:highlight w:val="none"/>
          <w:lang w:eastAsia="zh-CN"/>
        </w:rPr>
        <w:t>%；国有资本经营预算财政拨款收入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%；上级补助收入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%；事业收入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%；附属单位上缴收入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 xml:space="preserve"> </w:t>
      </w:r>
    </w:p>
    <w:p>
      <w:pPr>
        <w:pageBreakBefore w:val="0"/>
        <w:widowControl w:val="0"/>
        <w:kinsoku/>
        <w:wordWrap/>
        <w:overflowPunct/>
        <w:topLinePunct w:val="0"/>
        <w:autoSpaceDE/>
        <w:autoSpaceDN/>
        <w:bidi w:val="0"/>
        <w:ind w:firstLine="800" w:firstLineChars="25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（图2：收入决算结构图）（饼状图）</w:t>
      </w:r>
    </w:p>
    <w:p>
      <w:pPr>
        <w:pageBreakBefore w:val="0"/>
        <w:widowControl w:val="0"/>
        <w:kinsoku/>
        <w:wordWrap/>
        <w:overflowPunct/>
        <w:topLinePunct w:val="0"/>
        <w:autoSpaceDE/>
        <w:autoSpaceDN/>
        <w:bidi w:val="0"/>
        <w:ind w:firstLine="800" w:firstLineChars="250"/>
        <w:jc w:val="both"/>
        <w:textAlignment w:val="auto"/>
        <w:rPr>
          <w:rFonts w:hint="default" w:ascii="Times New Roman" w:hAnsi="Times New Roman" w:eastAsia="仿宋_GB2312" w:cs="Times New Roman"/>
          <w:color w:val="auto"/>
          <w:sz w:val="32"/>
          <w:szCs w:val="32"/>
          <w:highlight w:val="none"/>
          <w:lang w:eastAsia="zh-CN"/>
        </w:rPr>
      </w:pPr>
    </w:p>
    <w:p>
      <w:pPr>
        <w:pStyle w:val="2"/>
        <w:rPr>
          <w:rFonts w:hint="default"/>
          <w:lang w:val="en" w:eastAsia="zh-CN"/>
        </w:rPr>
      </w:pPr>
      <w:r>
        <w:rPr>
          <w:rFonts w:hint="default"/>
          <w:lang w:val="en" w:eastAsia="zh-CN"/>
        </w:rPr>
        <w:t xml:space="preserve"> </w:t>
      </w: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1"/>
        <w:rPr>
          <w:rStyle w:val="21"/>
          <w:rFonts w:hint="default" w:ascii="Times New Roman" w:hAnsi="Times New Roman" w:eastAsia="黑体" w:cs="Times New Roman"/>
          <w:b w:val="0"/>
          <w:color w:val="auto"/>
          <w:highlight w:val="none"/>
        </w:rPr>
      </w:pPr>
      <w:bookmarkStart w:id="32" w:name="_Toc531164873_WPSOffice_Level2"/>
      <w:bookmarkStart w:id="33" w:name="_Toc15396605"/>
      <w:bookmarkStart w:id="34" w:name="_Toc15377207"/>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1"/>
          <w:rFonts w:hint="default" w:ascii="Times New Roman" w:hAnsi="Times New Roman" w:eastAsia="黑体" w:cs="Times New Roman"/>
          <w:b w:val="0"/>
          <w:color w:val="auto"/>
          <w:highlight w:val="none"/>
        </w:rPr>
        <w:t>出决算情况说明</w:t>
      </w:r>
      <w:bookmarkEnd w:id="32"/>
      <w:bookmarkEnd w:id="33"/>
      <w:bookmarkEnd w:id="34"/>
    </w:p>
    <w:p>
      <w:pPr>
        <w:pStyle w:val="27"/>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2001.28</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1523.96</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76.14</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477.32</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23.85</w:t>
      </w:r>
      <w:r>
        <w:rPr>
          <w:rFonts w:hint="default" w:ascii="Times New Roman" w:hAnsi="Times New Roman" w:eastAsia="仿宋_GB2312" w:cs="Times New Roman"/>
          <w:color w:val="auto"/>
          <w:sz w:val="32"/>
          <w:szCs w:val="32"/>
          <w:highlight w:val="none"/>
          <w:lang w:eastAsia="zh-CN"/>
        </w:rPr>
        <w:t>%；上缴上级支出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%；对附属单位补助支出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 xml:space="preserve"> </w:t>
      </w:r>
    </w:p>
    <w:p>
      <w:pPr>
        <w:pageBreakBefore w:val="0"/>
        <w:widowControl w:val="0"/>
        <w:kinsoku/>
        <w:wordWrap/>
        <w:overflowPunct/>
        <w:topLinePunct w:val="0"/>
        <w:autoSpaceDE/>
        <w:autoSpaceDN/>
        <w:bidi w:val="0"/>
        <w:ind w:firstLine="800" w:firstLineChars="25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（图3：支出决算结构图）（饼状图）</w:t>
      </w:r>
    </w:p>
    <w:p>
      <w:pPr>
        <w:pageBreakBefore w:val="0"/>
        <w:widowControl w:val="0"/>
        <w:kinsoku/>
        <w:wordWrap/>
        <w:overflowPunct/>
        <w:topLinePunct w:val="0"/>
        <w:autoSpaceDE/>
        <w:autoSpaceDN/>
        <w:bidi w:val="0"/>
        <w:ind w:firstLine="800" w:firstLineChars="250"/>
        <w:jc w:val="both"/>
        <w:textAlignment w:val="auto"/>
        <w:rPr>
          <w:rFonts w:hint="default" w:ascii="Times New Roman" w:hAnsi="Times New Roman" w:eastAsia="仿宋_GB2312" w:cs="Times New Roman"/>
          <w:color w:val="auto"/>
          <w:sz w:val="32"/>
          <w:szCs w:val="32"/>
          <w:highlight w:val="none"/>
          <w:lang w:eastAsia="zh-CN"/>
        </w:rPr>
      </w:pPr>
    </w:p>
    <w:p>
      <w:pPr>
        <w:pStyle w:val="2"/>
        <w:rPr>
          <w:rFonts w:hint="default"/>
          <w:lang w:val="en" w:eastAsia="zh-CN"/>
        </w:rPr>
      </w:pPr>
      <w:r>
        <w:rPr>
          <w:rFonts w:hint="default"/>
          <w:lang w:val="en" w:eastAsia="zh-CN"/>
        </w:rPr>
        <w:t xml:space="preserve">  </w:t>
      </w:r>
      <w:r>
        <w:drawing>
          <wp:inline distT="0" distB="0" distL="114300" distR="114300">
            <wp:extent cx="4572000" cy="2743200"/>
            <wp:effectExtent l="4445" t="4445" r="14605" b="1460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widowControl w:val="0"/>
        <w:kinsoku/>
        <w:wordWrap/>
        <w:overflowPunct/>
        <w:topLinePunct w:val="0"/>
        <w:autoSpaceDE/>
        <w:autoSpaceDN/>
        <w:bidi w:val="0"/>
        <w:spacing w:line="600" w:lineRule="exact"/>
        <w:ind w:firstLine="640" w:firstLineChars="200"/>
        <w:jc w:val="both"/>
        <w:textAlignment w:val="auto"/>
        <w:outlineLvl w:val="1"/>
        <w:rPr>
          <w:rStyle w:val="21"/>
          <w:rFonts w:hint="default" w:ascii="Times New Roman" w:hAnsi="Times New Roman" w:eastAsia="黑体" w:cs="Times New Roman"/>
          <w:b w:val="0"/>
          <w:color w:val="auto"/>
          <w:highlight w:val="none"/>
        </w:rPr>
      </w:pPr>
      <w:bookmarkStart w:id="35" w:name="_Toc15396606"/>
      <w:bookmarkStart w:id="36" w:name="_Toc1151735017_WPSOffice_Level2"/>
      <w:bookmarkStart w:id="37" w:name="_Toc15377208"/>
      <w:r>
        <w:rPr>
          <w:rFonts w:hint="default" w:ascii="Times New Roman" w:hAnsi="Times New Roman" w:eastAsia="黑体" w:cs="Times New Roman"/>
          <w:color w:val="auto"/>
          <w:sz w:val="32"/>
          <w:szCs w:val="32"/>
          <w:highlight w:val="none"/>
        </w:rPr>
        <w:t>四、财</w:t>
      </w:r>
      <w:r>
        <w:rPr>
          <w:rStyle w:val="21"/>
          <w:rFonts w:hint="default" w:ascii="Times New Roman" w:hAnsi="Times New Roman" w:eastAsia="黑体" w:cs="Times New Roman"/>
          <w:b w:val="0"/>
          <w:color w:val="auto"/>
          <w:highlight w:val="none"/>
        </w:rPr>
        <w:t>政拨款收入支出决算总体情况说明</w:t>
      </w:r>
      <w:bookmarkEnd w:id="35"/>
      <w:bookmarkEnd w:id="36"/>
      <w:bookmarkEnd w:id="37"/>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2001.28</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万元。与2023年度相比，财政拨款收入总计、支出总计各减少434.26万元，下降17.83%。主要变动原因是</w:t>
      </w:r>
      <w:r>
        <w:rPr>
          <w:rFonts w:hint="default" w:ascii="Times New Roman" w:hAnsi="Times New Roman" w:eastAsia="仿宋_GB2312" w:cs="Times New Roman"/>
          <w:color w:val="auto"/>
          <w:sz w:val="32"/>
          <w:szCs w:val="32"/>
          <w:highlight w:val="none"/>
          <w:lang w:eastAsia="zh-CN"/>
        </w:rPr>
        <w:t>因机构改革将市水政监察支队连人带编划转到市应急局减少了人员经费及项目经费。</w:t>
      </w:r>
    </w:p>
    <w:p>
      <w:pPr>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（图4：财政拨款收、支决算总计变动情况）（柱状图）</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2"/>
        <w:pageBreakBefore w:val="0"/>
        <w:widowControl w:val="0"/>
        <w:kinsoku/>
        <w:wordWrap/>
        <w:overflowPunct/>
        <w:topLinePunct w:val="0"/>
        <w:autoSpaceDE/>
        <w:autoSpaceDN/>
        <w:bidi w:val="0"/>
        <w:jc w:val="both"/>
        <w:textAlignment w:val="auto"/>
        <w:rPr>
          <w:rFonts w:hint="default" w:ascii="Times New Roman" w:hAnsi="Times New Roman" w:cs="Times New Roman"/>
          <w:lang w:val="en" w:eastAsia="zh-CN"/>
        </w:rPr>
      </w:pPr>
      <w:r>
        <w:rPr>
          <w:rFonts w:hint="default" w:ascii="Times New Roman" w:cs="Times New Roman"/>
          <w:lang w:val="en" w:eastAsia="zh-CN"/>
        </w:rPr>
        <w:t xml:space="preserve">    </w:t>
      </w:r>
      <w:r>
        <w:drawing>
          <wp:inline distT="0" distB="0" distL="114300" distR="114300">
            <wp:extent cx="4572000" cy="3028950"/>
            <wp:effectExtent l="4445" t="4445" r="14605" b="14605"/>
            <wp:docPr id="41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widowControl w:val="0"/>
        <w:kinsoku/>
        <w:wordWrap/>
        <w:overflowPunct/>
        <w:topLinePunct w:val="0"/>
        <w:autoSpaceDE/>
        <w:autoSpaceDN/>
        <w:bidi w:val="0"/>
        <w:spacing w:line="600" w:lineRule="exact"/>
        <w:ind w:firstLine="640" w:firstLineChars="200"/>
        <w:jc w:val="both"/>
        <w:textAlignment w:val="auto"/>
        <w:outlineLvl w:val="1"/>
        <w:rPr>
          <w:rStyle w:val="21"/>
          <w:rFonts w:hint="default" w:ascii="Times New Roman" w:hAnsi="Times New Roman" w:eastAsia="黑体" w:cs="Times New Roman"/>
          <w:b w:val="0"/>
          <w:color w:val="auto"/>
          <w:highlight w:val="none"/>
        </w:rPr>
      </w:pPr>
      <w:bookmarkStart w:id="38" w:name="_Toc1547547655_WPSOffice_Level2"/>
      <w:bookmarkStart w:id="39" w:name="_Toc15396607"/>
      <w:bookmarkStart w:id="40" w:name="_Toc15377209"/>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1"/>
          <w:rFonts w:hint="default" w:ascii="Times New Roman" w:hAnsi="Times New Roman" w:eastAsia="黑体" w:cs="Times New Roman"/>
          <w:b w:val="0"/>
          <w:color w:val="auto"/>
          <w:highlight w:val="none"/>
        </w:rPr>
        <w:t>般公共预算财政拨款支出决算情况说明</w:t>
      </w:r>
      <w:bookmarkEnd w:id="38"/>
      <w:bookmarkEnd w:id="39"/>
      <w:bookmarkEnd w:id="40"/>
    </w:p>
    <w:p>
      <w:pPr>
        <w:pageBreakBefore w:val="0"/>
        <w:widowControl w:val="0"/>
        <w:kinsoku/>
        <w:wordWrap/>
        <w:overflowPunct/>
        <w:topLinePunct w:val="0"/>
        <w:autoSpaceDE/>
        <w:autoSpaceDN/>
        <w:bidi w:val="0"/>
        <w:spacing w:line="600" w:lineRule="exact"/>
        <w:ind w:firstLine="642" w:firstLineChars="200"/>
        <w:jc w:val="both"/>
        <w:textAlignment w:val="auto"/>
        <w:outlineLvl w:val="2"/>
        <w:rPr>
          <w:rFonts w:hint="default" w:ascii="Times New Roman" w:hAnsi="Times New Roman" w:eastAsia="楷体_GB2312" w:cs="Times New Roman"/>
          <w:b/>
          <w:color w:val="auto"/>
          <w:sz w:val="32"/>
          <w:szCs w:val="32"/>
          <w:highlight w:val="none"/>
        </w:rPr>
      </w:pPr>
      <w:bookmarkStart w:id="41"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41"/>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1728.94</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86.39</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%。与2023年度相比，一般公共预算财政拨款支出减少321.02万元，下降15.66%。主要变动原因是</w:t>
      </w:r>
      <w:r>
        <w:rPr>
          <w:rFonts w:hint="default" w:ascii="Times New Roman" w:hAnsi="Times New Roman" w:eastAsia="仿宋_GB2312" w:cs="Times New Roman"/>
          <w:color w:val="auto"/>
          <w:sz w:val="32"/>
          <w:szCs w:val="32"/>
          <w:highlight w:val="none"/>
          <w:lang w:eastAsia="zh-CN"/>
        </w:rPr>
        <w:t>因机构改革将市水政监察支队连人带编划转到市应急局减少了人员经费及项目经费。</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（图5：一般公共预算财政拨款支出决算变动情况）（柱状图）</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2"/>
        <w:pageBreakBefore w:val="0"/>
        <w:widowControl w:val="0"/>
        <w:kinsoku/>
        <w:wordWrap/>
        <w:overflowPunct/>
        <w:topLinePunct w:val="0"/>
        <w:autoSpaceDE/>
        <w:autoSpaceDN/>
        <w:bidi w:val="0"/>
        <w:jc w:val="both"/>
        <w:textAlignment w:val="auto"/>
        <w:rPr>
          <w:rFonts w:hint="default" w:ascii="Times New Roman" w:hAnsi="Times New Roman" w:cs="Times New Roman"/>
          <w:lang w:val="en" w:eastAsia="zh-CN"/>
        </w:rPr>
      </w:pPr>
      <w:r>
        <w:rPr>
          <w:rFonts w:hint="default" w:ascii="Times New Roman" w:cs="Times New Roman"/>
          <w:lang w:val="en" w:eastAsia="zh-CN"/>
        </w:rPr>
        <w:t xml:space="preserve">  </w:t>
      </w:r>
      <w:r>
        <w:drawing>
          <wp:inline distT="0" distB="0" distL="114300" distR="114300">
            <wp:extent cx="4572000" cy="3028950"/>
            <wp:effectExtent l="4445" t="4445" r="14605" b="14605"/>
            <wp:docPr id="513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widowControl w:val="0"/>
        <w:kinsoku/>
        <w:wordWrap/>
        <w:overflowPunct/>
        <w:topLinePunct w:val="0"/>
        <w:autoSpaceDE/>
        <w:autoSpaceDN/>
        <w:bidi w:val="0"/>
        <w:spacing w:line="600" w:lineRule="exact"/>
        <w:ind w:firstLine="642" w:firstLineChars="200"/>
        <w:jc w:val="both"/>
        <w:textAlignment w:val="auto"/>
        <w:outlineLvl w:val="2"/>
        <w:rPr>
          <w:rFonts w:hint="default" w:ascii="Times New Roman" w:hAnsi="Times New Roman" w:eastAsia="楷体_GB2312" w:cs="Times New Roman"/>
          <w:b/>
          <w:color w:val="auto"/>
          <w:sz w:val="32"/>
          <w:szCs w:val="32"/>
          <w:highlight w:val="none"/>
        </w:rPr>
      </w:pPr>
      <w:bookmarkStart w:id="42"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42"/>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1728.94</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sz w:val="32"/>
          <w:szCs w:val="32"/>
        </w:rPr>
        <w:t>主要用于以下方面:一般公共服务支出</w:t>
      </w:r>
      <w:r>
        <w:rPr>
          <w:rFonts w:hint="default" w:ascii="Times New Roman" w:hAnsi="Times New Roman" w:eastAsia="仿宋_GB2312" w:cs="Times New Roman"/>
          <w:b w:val="0"/>
          <w:bCs w:val="0"/>
          <w:sz w:val="32"/>
          <w:szCs w:val="32"/>
          <w:lang w:val="en-US" w:eastAsia="zh-CN"/>
        </w:rPr>
        <w:t>6.63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val="0"/>
          <w:bCs w:val="0"/>
          <w:sz w:val="32"/>
          <w:szCs w:val="32"/>
          <w:lang w:val="en-US" w:eastAsia="zh-CN"/>
        </w:rPr>
        <w:t>0.38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社会保障和就业支出</w:t>
      </w:r>
      <w:r>
        <w:rPr>
          <w:rFonts w:hint="default" w:ascii="Times New Roman" w:hAnsi="Times New Roman" w:eastAsia="仿宋_GB2312" w:cs="Times New Roman"/>
          <w:b w:val="0"/>
          <w:bCs w:val="0"/>
          <w:sz w:val="32"/>
          <w:szCs w:val="32"/>
          <w:lang w:val="en-US" w:eastAsia="zh-CN"/>
        </w:rPr>
        <w:t>366.34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val="0"/>
          <w:bCs w:val="0"/>
          <w:sz w:val="32"/>
          <w:szCs w:val="32"/>
          <w:lang w:val="en-US" w:eastAsia="zh-CN"/>
        </w:rPr>
        <w:t>21.19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卫生健康支出</w:t>
      </w:r>
      <w:r>
        <w:rPr>
          <w:rFonts w:hint="default" w:ascii="Times New Roman" w:hAnsi="Times New Roman" w:eastAsia="仿宋_GB2312" w:cs="Times New Roman"/>
          <w:b w:val="0"/>
          <w:bCs w:val="0"/>
          <w:sz w:val="32"/>
          <w:szCs w:val="32"/>
          <w:lang w:val="en-US" w:eastAsia="zh-CN"/>
        </w:rPr>
        <w:t>69.04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val="0"/>
          <w:bCs w:val="0"/>
          <w:sz w:val="32"/>
          <w:szCs w:val="32"/>
          <w:lang w:val="en-US" w:eastAsia="zh-CN"/>
        </w:rPr>
        <w:t>3.99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农林水支出</w:t>
      </w:r>
      <w:r>
        <w:rPr>
          <w:rFonts w:hint="default" w:ascii="Times New Roman" w:hAnsi="Times New Roman" w:eastAsia="仿宋_GB2312" w:cs="Times New Roman"/>
          <w:b w:val="0"/>
          <w:bCs w:val="0"/>
          <w:sz w:val="32"/>
          <w:szCs w:val="32"/>
          <w:lang w:val="en-US" w:eastAsia="zh-CN"/>
        </w:rPr>
        <w:t>1192.05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b w:val="0"/>
          <w:bCs w:val="0"/>
          <w:sz w:val="32"/>
          <w:szCs w:val="32"/>
          <w:lang w:val="en-US" w:eastAsia="zh-CN"/>
        </w:rPr>
        <w:t>68.95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住房保障支出</w:t>
      </w:r>
      <w:r>
        <w:rPr>
          <w:rFonts w:hint="default" w:ascii="Times New Roman" w:hAnsi="Times New Roman" w:eastAsia="仿宋_GB2312" w:cs="Times New Roman"/>
          <w:b w:val="0"/>
          <w:bCs w:val="0"/>
          <w:sz w:val="32"/>
          <w:szCs w:val="32"/>
          <w:lang w:val="en-US" w:eastAsia="zh-CN"/>
        </w:rPr>
        <w:t>94.88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5.49</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（图6：一般公共预算财政拨款支出决算结构）（饼状图）</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2"/>
        <w:pageBreakBefore w:val="0"/>
        <w:widowControl w:val="0"/>
        <w:kinsoku/>
        <w:wordWrap/>
        <w:overflowPunct/>
        <w:topLinePunct w:val="0"/>
        <w:autoSpaceDE/>
        <w:autoSpaceDN/>
        <w:bidi w:val="0"/>
        <w:jc w:val="both"/>
        <w:textAlignment w:val="auto"/>
        <w:rPr>
          <w:rFonts w:hint="default" w:ascii="Times New Roman" w:hAnsi="Times New Roman" w:cs="Times New Roman"/>
          <w:lang w:val="en" w:eastAsia="zh-CN"/>
        </w:rPr>
      </w:pPr>
      <w:r>
        <w:rPr>
          <w:rFonts w:hint="default" w:ascii="Times New Roman" w:cs="Times New Roman"/>
          <w:lang w:val="en" w:eastAsia="zh-CN"/>
        </w:rPr>
        <w:t xml:space="preserve">  </w:t>
      </w: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ageBreakBefore w:val="0"/>
        <w:widowControl w:val="0"/>
        <w:kinsoku/>
        <w:wordWrap/>
        <w:overflowPunct/>
        <w:topLinePunct w:val="0"/>
        <w:autoSpaceDE/>
        <w:autoSpaceDN/>
        <w:bidi w:val="0"/>
        <w:spacing w:line="600" w:lineRule="exact"/>
        <w:ind w:firstLine="642" w:firstLineChars="200"/>
        <w:jc w:val="both"/>
        <w:textAlignment w:val="auto"/>
        <w:outlineLvl w:val="2"/>
        <w:rPr>
          <w:rFonts w:hint="default" w:ascii="Times New Roman" w:hAnsi="Times New Roman" w:eastAsia="楷体_GB2312" w:cs="Times New Roman"/>
          <w:b/>
          <w:color w:val="auto"/>
          <w:sz w:val="32"/>
          <w:szCs w:val="32"/>
          <w:highlight w:val="none"/>
        </w:rPr>
      </w:pPr>
      <w:bookmarkStart w:id="43"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43"/>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1"/>
        <w:rPr>
          <w:rFonts w:hint="default" w:ascii="Times New Roman" w:hAnsi="Times New Roman" w:eastAsia="仿宋_GB2312" w:cs="Times New Roman"/>
          <w:color w:val="auto"/>
          <w:kern w:val="2"/>
          <w:sz w:val="32"/>
          <w:szCs w:val="32"/>
          <w:highlight w:val="none"/>
          <w:lang w:val="en-US" w:eastAsia="zh-CN" w:bidi="ar-SA"/>
        </w:rPr>
      </w:pPr>
      <w:bookmarkStart w:id="44" w:name="_Toc15377213"/>
      <w:bookmarkStart w:id="45" w:name="_Toc15377444"/>
      <w:bookmarkStart w:id="46" w:name="_Toc15378460"/>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1728.94</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，完</w:t>
      </w:r>
      <w:bookmarkEnd w:id="44"/>
      <w:bookmarkEnd w:id="45"/>
      <w:bookmarkEnd w:id="46"/>
      <w:r>
        <w:rPr>
          <w:rFonts w:hint="default" w:ascii="Times New Roman" w:hAnsi="Times New Roman" w:eastAsia="仿宋_GB2312" w:cs="Times New Roman"/>
          <w:color w:val="auto"/>
          <w:kern w:val="2"/>
          <w:sz w:val="32"/>
          <w:szCs w:val="32"/>
          <w:highlight w:val="none"/>
          <w:lang w:val="en-US" w:eastAsia="zh-CN" w:bidi="ar-SA"/>
        </w:rPr>
        <w:t>成预算100%，其中：</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一般公共服务（类）</w:t>
      </w:r>
      <w:r>
        <w:rPr>
          <w:rFonts w:hint="default" w:ascii="Times New Roman" w:hAnsi="Times New Roman" w:eastAsia="仿宋_GB2312" w:cs="Times New Roman"/>
          <w:b/>
          <w:bCs/>
          <w:sz w:val="32"/>
          <w:szCs w:val="32"/>
          <w:lang w:eastAsia="zh-CN"/>
        </w:rPr>
        <w:t>组织事务</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其他组织事务支出</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6.62</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．社</w:t>
      </w:r>
      <w:r>
        <w:rPr>
          <w:rFonts w:hint="default" w:ascii="Times New Roman" w:hAnsi="Times New Roman" w:eastAsia="仿宋_GB2312" w:cs="Times New Roman"/>
          <w:b/>
          <w:bCs/>
          <w:sz w:val="32"/>
          <w:szCs w:val="32"/>
        </w:rPr>
        <w:t>会保障和就业支出（类）行政事业单位养老支出（款）行政单位离退休（项）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188.53</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．社</w:t>
      </w:r>
      <w:r>
        <w:rPr>
          <w:rFonts w:hint="default" w:ascii="Times New Roman" w:hAnsi="Times New Roman" w:eastAsia="仿宋_GB2312" w:cs="Times New Roman"/>
          <w:b/>
          <w:bCs/>
          <w:sz w:val="32"/>
          <w:szCs w:val="32"/>
        </w:rPr>
        <w:t>会保障和就业支出（类）行政事业单位养老支出（款）</w:t>
      </w:r>
      <w:r>
        <w:rPr>
          <w:rFonts w:hint="default" w:ascii="Times New Roman" w:hAnsi="Times New Roman" w:eastAsia="仿宋_GB2312" w:cs="Times New Roman"/>
          <w:b/>
          <w:bCs/>
          <w:sz w:val="32"/>
          <w:szCs w:val="32"/>
          <w:lang w:eastAsia="zh-CN"/>
        </w:rPr>
        <w:t>事业</w:t>
      </w:r>
      <w:r>
        <w:rPr>
          <w:rFonts w:hint="default" w:ascii="Times New Roman" w:hAnsi="Times New Roman" w:eastAsia="仿宋_GB2312" w:cs="Times New Roman"/>
          <w:b/>
          <w:bCs/>
          <w:sz w:val="32"/>
          <w:szCs w:val="32"/>
        </w:rPr>
        <w:t>单位离退休（项）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6.12</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社会保障和就业支出（类）行政事业单位养老支出（款）机关事业单位基本养老保险缴费支出（项）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116.05</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社会保障和就业支出（类）行政事业单位养老支出（款）机关事业单位职业年金缴费支出（项）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30.01</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社会保障和就业支出（类）</w:t>
      </w:r>
      <w:r>
        <w:rPr>
          <w:rFonts w:hint="default" w:ascii="Times New Roman" w:hAnsi="Times New Roman" w:eastAsia="仿宋_GB2312" w:cs="Times New Roman"/>
          <w:b/>
          <w:bCs/>
          <w:sz w:val="32"/>
          <w:szCs w:val="32"/>
          <w:lang w:eastAsia="zh-CN"/>
        </w:rPr>
        <w:t>抚恤</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死亡抚恤</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25.01</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社会保障和就业支出（类）</w:t>
      </w:r>
      <w:r>
        <w:rPr>
          <w:rFonts w:hint="default" w:ascii="Times New Roman" w:hAnsi="Times New Roman" w:eastAsia="仿宋_GB2312" w:cs="Times New Roman"/>
          <w:b/>
          <w:bCs/>
          <w:sz w:val="32"/>
          <w:szCs w:val="32"/>
          <w:lang w:eastAsia="zh-CN"/>
        </w:rPr>
        <w:t>社会福利</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儿童福利</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0.62</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卫生健康支出（类）</w:t>
      </w:r>
      <w:r>
        <w:rPr>
          <w:rFonts w:hint="default" w:ascii="Times New Roman" w:hAnsi="Times New Roman" w:eastAsia="仿宋_GB2312" w:cs="Times New Roman"/>
          <w:b/>
          <w:bCs/>
          <w:sz w:val="32"/>
          <w:szCs w:val="32"/>
          <w:lang w:eastAsia="zh-CN"/>
        </w:rPr>
        <w:t>行政事业单位医疗</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行政单位医疗</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39.73</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卫生健康支出（类）</w:t>
      </w:r>
      <w:r>
        <w:rPr>
          <w:rFonts w:hint="default" w:ascii="Times New Roman" w:hAnsi="Times New Roman" w:eastAsia="仿宋_GB2312" w:cs="Times New Roman"/>
          <w:b/>
          <w:bCs/>
          <w:sz w:val="32"/>
          <w:szCs w:val="32"/>
          <w:lang w:eastAsia="zh-CN"/>
        </w:rPr>
        <w:t>行政事业单位医疗</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事业单位医疗</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21.31</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rPr>
        <w:t>卫生健康支出（类）</w:t>
      </w:r>
      <w:r>
        <w:rPr>
          <w:rFonts w:hint="default" w:ascii="Times New Roman" w:hAnsi="Times New Roman" w:eastAsia="仿宋_GB2312" w:cs="Times New Roman"/>
          <w:b/>
          <w:bCs/>
          <w:sz w:val="32"/>
          <w:szCs w:val="32"/>
          <w:lang w:eastAsia="zh-CN"/>
        </w:rPr>
        <w:t>行政事业单位医疗</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公务员医疗补助</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6.91</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11．</w:t>
      </w:r>
      <w:r>
        <w:rPr>
          <w:rFonts w:hint="default" w:ascii="Times New Roman" w:hAnsi="Times New Roman" w:eastAsia="仿宋_GB2312" w:cs="Times New Roman"/>
          <w:b/>
          <w:bCs/>
          <w:sz w:val="32"/>
          <w:szCs w:val="32"/>
        </w:rPr>
        <w:t>卫生健康支出（类）</w:t>
      </w:r>
      <w:r>
        <w:rPr>
          <w:rFonts w:hint="default" w:ascii="Times New Roman" w:hAnsi="Times New Roman" w:eastAsia="仿宋_GB2312" w:cs="Times New Roman"/>
          <w:b/>
          <w:bCs/>
          <w:sz w:val="32"/>
          <w:szCs w:val="32"/>
          <w:lang w:eastAsia="zh-CN"/>
        </w:rPr>
        <w:t>其他卫生健康支出</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其他卫生健康支出</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1.09</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12．</w:t>
      </w:r>
      <w:r>
        <w:rPr>
          <w:rFonts w:hint="default" w:ascii="Times New Roman" w:hAnsi="Times New Roman" w:eastAsia="仿宋_GB2312" w:cs="Times New Roman"/>
          <w:b/>
          <w:bCs/>
          <w:sz w:val="32"/>
          <w:szCs w:val="32"/>
        </w:rPr>
        <w:t>农林水支出（类）</w:t>
      </w:r>
      <w:r>
        <w:rPr>
          <w:rFonts w:hint="default" w:ascii="Times New Roman" w:hAnsi="Times New Roman" w:eastAsia="仿宋_GB2312" w:cs="Times New Roman"/>
          <w:b/>
          <w:bCs/>
          <w:sz w:val="32"/>
          <w:szCs w:val="32"/>
          <w:lang w:eastAsia="zh-CN"/>
        </w:rPr>
        <w:t>水利</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行政运行</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653.20</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13．</w:t>
      </w:r>
      <w:r>
        <w:rPr>
          <w:rFonts w:hint="default" w:ascii="Times New Roman" w:hAnsi="Times New Roman" w:eastAsia="仿宋_GB2312" w:cs="Times New Roman"/>
          <w:b/>
          <w:bCs/>
          <w:sz w:val="32"/>
          <w:szCs w:val="32"/>
        </w:rPr>
        <w:t>农林水支出（类）</w:t>
      </w:r>
      <w:r>
        <w:rPr>
          <w:rFonts w:hint="default" w:ascii="Times New Roman" w:hAnsi="Times New Roman" w:eastAsia="仿宋_GB2312" w:cs="Times New Roman"/>
          <w:b/>
          <w:bCs/>
          <w:sz w:val="32"/>
          <w:szCs w:val="32"/>
          <w:lang w:eastAsia="zh-CN"/>
        </w:rPr>
        <w:t>水利</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水利前期工作</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132.3</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14．</w:t>
      </w:r>
      <w:r>
        <w:rPr>
          <w:rFonts w:hint="default" w:ascii="Times New Roman" w:hAnsi="Times New Roman" w:eastAsia="仿宋_GB2312" w:cs="Times New Roman"/>
          <w:b/>
          <w:bCs/>
          <w:sz w:val="32"/>
          <w:szCs w:val="32"/>
        </w:rPr>
        <w:t>农林水支出（类）</w:t>
      </w:r>
      <w:r>
        <w:rPr>
          <w:rFonts w:hint="default" w:ascii="Times New Roman" w:hAnsi="Times New Roman" w:eastAsia="仿宋_GB2312" w:cs="Times New Roman"/>
          <w:b/>
          <w:bCs/>
          <w:sz w:val="32"/>
          <w:szCs w:val="32"/>
          <w:lang w:eastAsia="zh-CN"/>
        </w:rPr>
        <w:t>水利</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水资源节约管理与保护</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321.06</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15．</w:t>
      </w:r>
      <w:r>
        <w:rPr>
          <w:rFonts w:hint="default" w:ascii="Times New Roman" w:hAnsi="Times New Roman" w:eastAsia="仿宋_GB2312" w:cs="Times New Roman"/>
          <w:b/>
          <w:bCs/>
          <w:sz w:val="32"/>
          <w:szCs w:val="32"/>
        </w:rPr>
        <w:t>农林水支出（类）</w:t>
      </w:r>
      <w:r>
        <w:rPr>
          <w:rFonts w:hint="default" w:ascii="Times New Roman" w:hAnsi="Times New Roman" w:eastAsia="仿宋_GB2312" w:cs="Times New Roman"/>
          <w:b/>
          <w:bCs/>
          <w:sz w:val="32"/>
          <w:szCs w:val="32"/>
          <w:lang w:eastAsia="zh-CN"/>
        </w:rPr>
        <w:t>水利</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其他水利支出</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85.50</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sz w:val="32"/>
          <w:szCs w:val="32"/>
          <w:lang w:val="en-US" w:eastAsia="zh-CN"/>
        </w:rPr>
        <w:t>16．</w:t>
      </w:r>
      <w:r>
        <w:rPr>
          <w:rFonts w:hint="default" w:ascii="Times New Roman" w:hAnsi="Times New Roman" w:eastAsia="仿宋_GB2312" w:cs="Times New Roman"/>
          <w:b/>
          <w:bCs/>
          <w:sz w:val="32"/>
          <w:szCs w:val="32"/>
        </w:rPr>
        <w:t>住房保障支出（类）</w:t>
      </w:r>
      <w:r>
        <w:rPr>
          <w:rFonts w:hint="default" w:ascii="Times New Roman" w:hAnsi="Times New Roman" w:eastAsia="仿宋_GB2312" w:cs="Times New Roman"/>
          <w:b/>
          <w:bCs/>
          <w:sz w:val="32"/>
          <w:szCs w:val="32"/>
          <w:lang w:eastAsia="zh-CN"/>
        </w:rPr>
        <w:t>住房改革支出</w:t>
      </w:r>
      <w:r>
        <w:rPr>
          <w:rFonts w:hint="default" w:ascii="Times New Roman" w:hAnsi="Times New Roman" w:eastAsia="仿宋_GB2312" w:cs="Times New Roman"/>
          <w:b/>
          <w:bCs/>
          <w:sz w:val="32"/>
          <w:szCs w:val="32"/>
        </w:rPr>
        <w:t>（款）</w:t>
      </w:r>
      <w:r>
        <w:rPr>
          <w:rFonts w:hint="default" w:ascii="Times New Roman" w:hAnsi="Times New Roman" w:eastAsia="仿宋_GB2312" w:cs="Times New Roman"/>
          <w:b/>
          <w:bCs/>
          <w:sz w:val="32"/>
          <w:szCs w:val="32"/>
          <w:lang w:eastAsia="zh-CN"/>
        </w:rPr>
        <w:t>住房公积金</w:t>
      </w:r>
      <w:r>
        <w:rPr>
          <w:rFonts w:hint="default" w:ascii="Times New Roman" w:hAnsi="Times New Roman" w:eastAsia="仿宋_GB2312" w:cs="Times New Roman"/>
          <w:b/>
          <w:bCs/>
          <w:sz w:val="32"/>
          <w:szCs w:val="32"/>
        </w:rPr>
        <w:t>（项）</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94.88</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ageBreakBefore w:val="0"/>
        <w:widowControl w:val="0"/>
        <w:tabs>
          <w:tab w:val="right" w:pos="8306"/>
        </w:tabs>
        <w:kinsoku/>
        <w:wordWrap/>
        <w:overflowPunct/>
        <w:topLinePunct w:val="0"/>
        <w:autoSpaceDE/>
        <w:autoSpaceDN/>
        <w:bidi w:val="0"/>
        <w:spacing w:line="600" w:lineRule="exact"/>
        <w:ind w:firstLine="640"/>
        <w:jc w:val="both"/>
        <w:textAlignment w:val="auto"/>
        <w:outlineLvl w:val="1"/>
        <w:rPr>
          <w:rStyle w:val="21"/>
          <w:rFonts w:hint="default" w:ascii="Times New Roman" w:hAnsi="Times New Roman" w:cs="Times New Roman"/>
          <w:color w:val="auto"/>
          <w:highlight w:val="none"/>
        </w:rPr>
      </w:pPr>
      <w:bookmarkStart w:id="47" w:name="_Toc15396608"/>
      <w:bookmarkStart w:id="48" w:name="_Toc15377214"/>
      <w:bookmarkStart w:id="49" w:name="_Toc244000447_WPSOffice_Level2"/>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1"/>
          <w:rFonts w:hint="default" w:ascii="Times New Roman" w:hAnsi="Times New Roman" w:eastAsia="黑体" w:cs="Times New Roman"/>
          <w:b w:val="0"/>
          <w:color w:val="auto"/>
          <w:highlight w:val="none"/>
        </w:rPr>
        <w:t>般公共预算财政拨款基本支出决算情况说明</w:t>
      </w:r>
      <w:bookmarkEnd w:id="47"/>
      <w:bookmarkEnd w:id="48"/>
      <w:bookmarkEnd w:id="49"/>
      <w:r>
        <w:rPr>
          <w:rStyle w:val="21"/>
          <w:rFonts w:hint="default" w:ascii="Times New Roman" w:hAnsi="Times New Roman" w:eastAsia="黑体" w:cs="Times New Roman"/>
          <w:b w:val="0"/>
          <w:color w:val="auto"/>
          <w:highlight w:val="none"/>
        </w:rPr>
        <w:tab/>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1523.96</w:t>
      </w:r>
      <w:r>
        <w:rPr>
          <w:rFonts w:hint="default" w:ascii="Times New Roman" w:hAnsi="Times New Roman" w:eastAsia="仿宋_GB2312" w:cs="Times New Roman"/>
          <w:color w:val="auto"/>
          <w:kern w:val="2"/>
          <w:sz w:val="32"/>
          <w:szCs w:val="32"/>
          <w:highlight w:val="none"/>
          <w:lang w:val="en-US" w:eastAsia="zh-CN" w:bidi="ar-SA"/>
        </w:rPr>
        <w:t>万元，其中：</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人员经费1339.72万元，主要包括</w:t>
      </w:r>
      <w:r>
        <w:rPr>
          <w:rFonts w:hint="default" w:ascii="Times New Roman" w:hAnsi="Times New Roman" w:eastAsia="仿宋_GB2312" w:cs="Times New Roman"/>
          <w:sz w:val="32"/>
          <w:szCs w:val="32"/>
        </w:rPr>
        <w:t>基本工资</w:t>
      </w:r>
      <w:r>
        <w:rPr>
          <w:rFonts w:hint="eastAsia" w:eastAsia="仿宋_GB2312" w:cs="Times New Roman"/>
          <w:sz w:val="32"/>
          <w:szCs w:val="32"/>
          <w:lang w:val="en-US" w:eastAsia="zh-CN"/>
        </w:rPr>
        <w:t>262.36万元</w:t>
      </w:r>
      <w:r>
        <w:rPr>
          <w:rFonts w:hint="default" w:ascii="Times New Roman" w:hAnsi="Times New Roman" w:eastAsia="仿宋_GB2312" w:cs="Times New Roman"/>
          <w:sz w:val="32"/>
          <w:szCs w:val="32"/>
        </w:rPr>
        <w:t>、津贴补贴</w:t>
      </w:r>
      <w:r>
        <w:rPr>
          <w:rFonts w:hint="eastAsia" w:eastAsia="仿宋_GB2312" w:cs="Times New Roman"/>
          <w:sz w:val="32"/>
          <w:szCs w:val="32"/>
          <w:lang w:val="en-US" w:eastAsia="zh-CN"/>
        </w:rPr>
        <w:t>150.39万元</w:t>
      </w:r>
      <w:r>
        <w:rPr>
          <w:rFonts w:hint="default" w:ascii="Times New Roman" w:hAnsi="Times New Roman" w:eastAsia="仿宋_GB2312" w:cs="Times New Roman"/>
          <w:sz w:val="32"/>
          <w:szCs w:val="32"/>
        </w:rPr>
        <w:t>、奖金</w:t>
      </w:r>
      <w:r>
        <w:rPr>
          <w:rFonts w:hint="eastAsia" w:eastAsia="仿宋_GB2312" w:cs="Times New Roman"/>
          <w:sz w:val="32"/>
          <w:szCs w:val="32"/>
          <w:lang w:val="en-US" w:eastAsia="zh-CN"/>
        </w:rPr>
        <w:t>218.88万元</w:t>
      </w:r>
      <w:r>
        <w:rPr>
          <w:rFonts w:hint="default" w:ascii="Times New Roman" w:hAnsi="Times New Roman" w:eastAsia="仿宋_GB2312" w:cs="Times New Roman"/>
          <w:sz w:val="32"/>
          <w:szCs w:val="32"/>
        </w:rPr>
        <w:t>、绩效工资</w:t>
      </w:r>
      <w:r>
        <w:rPr>
          <w:rFonts w:hint="eastAsia" w:eastAsia="仿宋_GB2312" w:cs="Times New Roman"/>
          <w:sz w:val="32"/>
          <w:szCs w:val="32"/>
          <w:lang w:val="en-US" w:eastAsia="zh-CN"/>
        </w:rPr>
        <w:t>163.32万元</w:t>
      </w:r>
      <w:r>
        <w:rPr>
          <w:rFonts w:hint="default" w:ascii="Times New Roman" w:hAnsi="Times New Roman" w:eastAsia="仿宋_GB2312" w:cs="Times New Roman"/>
          <w:sz w:val="32"/>
          <w:szCs w:val="32"/>
        </w:rPr>
        <w:t>、机关事业单位基本养老保险缴费</w:t>
      </w:r>
      <w:r>
        <w:rPr>
          <w:rFonts w:hint="eastAsia" w:eastAsia="仿宋_GB2312" w:cs="Times New Roman"/>
          <w:sz w:val="32"/>
          <w:szCs w:val="32"/>
          <w:lang w:val="en-US" w:eastAsia="zh-CN"/>
        </w:rPr>
        <w:t>116.05万元</w:t>
      </w:r>
      <w:r>
        <w:rPr>
          <w:rFonts w:hint="default" w:ascii="Times New Roman" w:hAnsi="Times New Roman" w:eastAsia="仿宋_GB2312" w:cs="Times New Roman"/>
          <w:sz w:val="32"/>
          <w:szCs w:val="32"/>
        </w:rPr>
        <w:t>、职业年金缴费</w:t>
      </w:r>
      <w:r>
        <w:rPr>
          <w:rFonts w:hint="eastAsia" w:eastAsia="仿宋_GB2312" w:cs="Times New Roman"/>
          <w:sz w:val="32"/>
          <w:szCs w:val="32"/>
          <w:lang w:val="en-US" w:eastAsia="zh-CN"/>
        </w:rPr>
        <w:t>30.01万元</w:t>
      </w:r>
      <w:r>
        <w:rPr>
          <w:rFonts w:hint="default" w:ascii="Times New Roman" w:hAnsi="Times New Roman" w:eastAsia="仿宋_GB2312" w:cs="Times New Roman"/>
          <w:sz w:val="32"/>
          <w:szCs w:val="32"/>
        </w:rPr>
        <w:t>、职工基本医疗保险缴费</w:t>
      </w:r>
      <w:r>
        <w:rPr>
          <w:rFonts w:hint="eastAsia" w:eastAsia="仿宋_GB2312" w:cs="Times New Roman"/>
          <w:sz w:val="32"/>
          <w:szCs w:val="32"/>
          <w:lang w:val="en-US" w:eastAsia="zh-CN"/>
        </w:rPr>
        <w:t>61.03万元</w:t>
      </w:r>
      <w:r>
        <w:rPr>
          <w:rFonts w:hint="default" w:ascii="Times New Roman" w:hAnsi="Times New Roman" w:eastAsia="仿宋_GB2312" w:cs="Times New Roman"/>
          <w:sz w:val="32"/>
          <w:szCs w:val="32"/>
          <w:lang w:eastAsia="zh-CN"/>
        </w:rPr>
        <w:t>、公务员医疗补助缴费</w:t>
      </w:r>
      <w:r>
        <w:rPr>
          <w:rFonts w:hint="eastAsia" w:eastAsia="仿宋_GB2312" w:cs="Times New Roman"/>
          <w:sz w:val="32"/>
          <w:szCs w:val="32"/>
          <w:lang w:val="en-US" w:eastAsia="zh-CN"/>
        </w:rPr>
        <w:t>15.19万元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其他社会保障缴费</w:t>
      </w:r>
      <w:r>
        <w:rPr>
          <w:rFonts w:hint="eastAsia" w:eastAsia="仿宋_GB2312" w:cs="Times New Roman"/>
          <w:sz w:val="32"/>
          <w:szCs w:val="32"/>
          <w:lang w:val="en-US" w:eastAsia="zh-CN"/>
        </w:rPr>
        <w:t>2.59万元</w:t>
      </w:r>
      <w:r>
        <w:rPr>
          <w:rFonts w:hint="default" w:ascii="Times New Roman" w:hAnsi="Times New Roman" w:eastAsia="仿宋_GB2312" w:cs="Times New Roman"/>
          <w:sz w:val="32"/>
          <w:szCs w:val="32"/>
        </w:rPr>
        <w:t>、其他工资福利支出</w:t>
      </w:r>
      <w:r>
        <w:rPr>
          <w:rFonts w:hint="eastAsia" w:eastAsia="仿宋_GB2312" w:cs="Times New Roman"/>
          <w:sz w:val="32"/>
          <w:szCs w:val="32"/>
          <w:lang w:val="en-US" w:eastAsia="zh-CN"/>
        </w:rPr>
        <w:t>21.46万元</w:t>
      </w:r>
      <w:r>
        <w:rPr>
          <w:rFonts w:hint="default" w:ascii="Times New Roman" w:hAnsi="Times New Roman" w:eastAsia="仿宋_GB2312" w:cs="Times New Roman"/>
          <w:sz w:val="32"/>
          <w:szCs w:val="32"/>
        </w:rPr>
        <w:t>、离休费</w:t>
      </w:r>
      <w:r>
        <w:rPr>
          <w:rFonts w:hint="eastAsia" w:eastAsia="仿宋_GB2312" w:cs="Times New Roman"/>
          <w:sz w:val="32"/>
          <w:szCs w:val="32"/>
          <w:lang w:val="en-US" w:eastAsia="zh-CN"/>
        </w:rPr>
        <w:t>30.66万元</w:t>
      </w:r>
      <w:r>
        <w:rPr>
          <w:rFonts w:hint="default" w:ascii="Times New Roman" w:hAnsi="Times New Roman" w:eastAsia="仿宋_GB2312" w:cs="Times New Roman"/>
          <w:sz w:val="32"/>
          <w:szCs w:val="32"/>
        </w:rPr>
        <w:t>、抚恤金</w:t>
      </w:r>
      <w:r>
        <w:rPr>
          <w:rFonts w:hint="eastAsia" w:eastAsia="仿宋_GB2312" w:cs="Times New Roman"/>
          <w:sz w:val="32"/>
          <w:szCs w:val="32"/>
          <w:lang w:val="en-US" w:eastAsia="zh-CN"/>
        </w:rPr>
        <w:t>25.01万元</w:t>
      </w:r>
      <w:r>
        <w:rPr>
          <w:rFonts w:hint="default" w:ascii="Times New Roman" w:hAnsi="Times New Roman" w:eastAsia="仿宋_GB2312" w:cs="Times New Roman"/>
          <w:sz w:val="32"/>
          <w:szCs w:val="32"/>
        </w:rPr>
        <w:t>、生活补助</w:t>
      </w:r>
      <w:r>
        <w:rPr>
          <w:rFonts w:hint="eastAsia" w:eastAsia="仿宋_GB2312" w:cs="Times New Roman"/>
          <w:sz w:val="32"/>
          <w:szCs w:val="32"/>
          <w:lang w:val="en-US" w:eastAsia="zh-CN"/>
        </w:rPr>
        <w:t>137.73万元</w:t>
      </w:r>
      <w:r>
        <w:rPr>
          <w:rFonts w:hint="default" w:ascii="Times New Roman" w:hAnsi="Times New Roman" w:eastAsia="仿宋_GB2312" w:cs="Times New Roman"/>
          <w:sz w:val="32"/>
          <w:szCs w:val="32"/>
        </w:rPr>
        <w:t>、医疗费补助</w:t>
      </w:r>
      <w:r>
        <w:rPr>
          <w:rFonts w:hint="eastAsia" w:eastAsia="仿宋_GB2312" w:cs="Times New Roman"/>
          <w:sz w:val="32"/>
          <w:szCs w:val="32"/>
          <w:lang w:val="en-US" w:eastAsia="zh-CN"/>
        </w:rPr>
        <w:t>10.08万元</w:t>
      </w:r>
      <w:r>
        <w:rPr>
          <w:rFonts w:hint="default" w:ascii="Times New Roman" w:hAnsi="Times New Roman" w:eastAsia="仿宋_GB2312" w:cs="Times New Roman"/>
          <w:sz w:val="32"/>
          <w:szCs w:val="32"/>
        </w:rPr>
        <w:t>、住房公积金</w:t>
      </w:r>
      <w:r>
        <w:rPr>
          <w:rFonts w:hint="eastAsia" w:eastAsia="仿宋_GB2312" w:cs="Times New Roman"/>
          <w:sz w:val="32"/>
          <w:szCs w:val="32"/>
          <w:lang w:val="en-US" w:eastAsia="zh-CN"/>
        </w:rPr>
        <w:t>94.88万元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奖励金</w:t>
      </w:r>
      <w:r>
        <w:rPr>
          <w:rFonts w:hint="eastAsia" w:eastAsia="仿宋_GB2312" w:cs="Times New Roman"/>
          <w:sz w:val="32"/>
          <w:szCs w:val="32"/>
          <w:lang w:val="en-US" w:eastAsia="zh-CN"/>
        </w:rPr>
        <w:t>0.08万元</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eastAsia"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公用经费</w:t>
      </w:r>
      <w:r>
        <w:rPr>
          <w:rFonts w:hint="default" w:ascii="Times New Roman" w:hAnsi="Times New Roman" w:eastAsia="仿宋_GB2312" w:cs="Times New Roman"/>
          <w:sz w:val="32"/>
          <w:szCs w:val="32"/>
        </w:rPr>
        <w:t>184.24</w:t>
      </w:r>
      <w:r>
        <w:rPr>
          <w:rFonts w:hint="default" w:ascii="Times New Roman" w:hAnsi="Times New Roman" w:eastAsia="仿宋_GB2312" w:cs="Times New Roman"/>
          <w:color w:val="auto"/>
          <w:kern w:val="2"/>
          <w:sz w:val="32"/>
          <w:szCs w:val="32"/>
          <w:highlight w:val="none"/>
          <w:lang w:val="en-US" w:eastAsia="zh-CN" w:bidi="ar-SA"/>
        </w:rPr>
        <w:t>万元</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主要包括：</w:t>
      </w:r>
      <w:r>
        <w:rPr>
          <w:rFonts w:hint="default" w:ascii="Times New Roman" w:hAnsi="Times New Roman" w:eastAsia="仿宋_GB2312" w:cs="Times New Roman"/>
          <w:sz w:val="32"/>
          <w:szCs w:val="32"/>
        </w:rPr>
        <w:t>办公费</w:t>
      </w:r>
      <w:r>
        <w:rPr>
          <w:rFonts w:hint="eastAsia" w:eastAsia="仿宋_GB2312" w:cs="Times New Roman"/>
          <w:sz w:val="32"/>
          <w:szCs w:val="32"/>
          <w:lang w:val="en-US" w:eastAsia="zh-CN"/>
        </w:rPr>
        <w:t>17.94万元</w:t>
      </w:r>
      <w:r>
        <w:rPr>
          <w:rFonts w:hint="default" w:ascii="Times New Roman" w:hAnsi="Times New Roman" w:eastAsia="仿宋_GB2312" w:cs="Times New Roman"/>
          <w:sz w:val="32"/>
          <w:szCs w:val="32"/>
        </w:rPr>
        <w:t>、印刷费</w:t>
      </w:r>
      <w:r>
        <w:rPr>
          <w:rFonts w:hint="eastAsia" w:eastAsia="仿宋_GB2312" w:cs="Times New Roman"/>
          <w:sz w:val="32"/>
          <w:szCs w:val="32"/>
          <w:lang w:val="en-US" w:eastAsia="zh-CN"/>
        </w:rPr>
        <w:t>1.4万元</w:t>
      </w:r>
      <w:r>
        <w:rPr>
          <w:rFonts w:hint="default" w:ascii="Times New Roman" w:hAnsi="Times New Roman" w:eastAsia="仿宋_GB2312" w:cs="Times New Roman"/>
          <w:sz w:val="32"/>
          <w:szCs w:val="32"/>
        </w:rPr>
        <w:t>、水费</w:t>
      </w:r>
      <w:r>
        <w:rPr>
          <w:rFonts w:hint="eastAsia" w:eastAsia="仿宋_GB2312" w:cs="Times New Roman"/>
          <w:sz w:val="32"/>
          <w:szCs w:val="32"/>
          <w:lang w:val="en-US" w:eastAsia="zh-CN"/>
        </w:rPr>
        <w:t>1.37万元</w:t>
      </w:r>
      <w:r>
        <w:rPr>
          <w:rFonts w:hint="default" w:ascii="Times New Roman" w:hAnsi="Times New Roman" w:eastAsia="仿宋_GB2312" w:cs="Times New Roman"/>
          <w:sz w:val="32"/>
          <w:szCs w:val="32"/>
        </w:rPr>
        <w:t>、电费</w:t>
      </w:r>
      <w:r>
        <w:rPr>
          <w:rFonts w:hint="eastAsia" w:eastAsia="仿宋_GB2312" w:cs="Times New Roman"/>
          <w:sz w:val="32"/>
          <w:szCs w:val="32"/>
          <w:lang w:val="en-US" w:eastAsia="zh-CN"/>
        </w:rPr>
        <w:t>9.46万元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5.55万元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物业管理费</w:t>
      </w:r>
      <w:r>
        <w:rPr>
          <w:rFonts w:hint="eastAsia" w:eastAsia="仿宋_GB2312" w:cs="Times New Roman"/>
          <w:sz w:val="32"/>
          <w:szCs w:val="32"/>
          <w:lang w:val="en-US" w:eastAsia="zh-CN"/>
        </w:rPr>
        <w:t>5.50万元、</w:t>
      </w:r>
      <w:r>
        <w:rPr>
          <w:rFonts w:hint="default" w:ascii="Times New Roman" w:hAnsi="Times New Roman" w:eastAsia="仿宋_GB2312" w:cs="Times New Roman"/>
          <w:sz w:val="32"/>
          <w:szCs w:val="32"/>
        </w:rPr>
        <w:t>差旅费</w:t>
      </w:r>
      <w:r>
        <w:rPr>
          <w:rFonts w:hint="eastAsia" w:eastAsia="仿宋_GB2312" w:cs="Times New Roman"/>
          <w:sz w:val="32"/>
          <w:szCs w:val="32"/>
          <w:lang w:val="en-US" w:eastAsia="zh-CN"/>
        </w:rPr>
        <w:t>40.52万元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维修费</w:t>
      </w:r>
      <w:r>
        <w:rPr>
          <w:rFonts w:hint="eastAsia" w:eastAsia="仿宋_GB2312" w:cs="Times New Roman"/>
          <w:sz w:val="32"/>
          <w:szCs w:val="32"/>
          <w:lang w:val="en-US" w:eastAsia="zh-CN"/>
        </w:rPr>
        <w:t>0.2万元、</w:t>
      </w:r>
      <w:r>
        <w:rPr>
          <w:rFonts w:hint="default" w:ascii="Times New Roman" w:hAnsi="Times New Roman" w:eastAsia="仿宋_GB2312" w:cs="Times New Roman"/>
          <w:sz w:val="32"/>
          <w:szCs w:val="32"/>
        </w:rPr>
        <w:t>会议费</w:t>
      </w:r>
      <w:r>
        <w:rPr>
          <w:rFonts w:hint="eastAsia" w:eastAsia="仿宋_GB2312" w:cs="Times New Roman"/>
          <w:sz w:val="32"/>
          <w:szCs w:val="32"/>
          <w:lang w:val="en-US" w:eastAsia="zh-CN"/>
        </w:rPr>
        <w:t>0.78万元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培训费</w:t>
      </w:r>
      <w:r>
        <w:rPr>
          <w:rFonts w:hint="eastAsia" w:eastAsia="仿宋_GB2312" w:cs="Times New Roman"/>
          <w:sz w:val="32"/>
          <w:szCs w:val="32"/>
          <w:lang w:val="en-US" w:eastAsia="zh-CN"/>
        </w:rPr>
        <w:t>0.82万元、</w:t>
      </w:r>
      <w:r>
        <w:rPr>
          <w:rFonts w:hint="default" w:ascii="Times New Roman" w:hAnsi="Times New Roman" w:eastAsia="仿宋_GB2312" w:cs="Times New Roman"/>
          <w:sz w:val="32"/>
          <w:szCs w:val="32"/>
        </w:rPr>
        <w:t>公务接待费</w:t>
      </w:r>
      <w:r>
        <w:rPr>
          <w:rFonts w:hint="eastAsia" w:eastAsia="仿宋_GB2312" w:cs="Times New Roman"/>
          <w:sz w:val="32"/>
          <w:szCs w:val="32"/>
          <w:lang w:val="en-US" w:eastAsia="zh-CN"/>
        </w:rPr>
        <w:t>2.33万元</w:t>
      </w:r>
      <w:r>
        <w:rPr>
          <w:rFonts w:hint="default" w:ascii="Times New Roman" w:hAnsi="Times New Roman" w:eastAsia="仿宋_GB2312" w:cs="Times New Roman"/>
          <w:sz w:val="32"/>
          <w:szCs w:val="32"/>
        </w:rPr>
        <w:t>、委托业务费</w:t>
      </w:r>
      <w:r>
        <w:rPr>
          <w:rFonts w:hint="eastAsia" w:eastAsia="仿宋_GB2312" w:cs="Times New Roman"/>
          <w:sz w:val="32"/>
          <w:szCs w:val="32"/>
          <w:lang w:val="en-US" w:eastAsia="zh-CN"/>
        </w:rPr>
        <w:t>0.10万元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16.63万元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11.28万元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val="en-US" w:eastAsia="zh-CN"/>
        </w:rPr>
        <w:t>12.20万元</w:t>
      </w:r>
      <w:r>
        <w:rPr>
          <w:rFonts w:hint="default" w:ascii="Times New Roman" w:hAnsi="Times New Roman" w:eastAsia="仿宋_GB2312" w:cs="Times New Roman"/>
          <w:sz w:val="32"/>
          <w:szCs w:val="32"/>
        </w:rPr>
        <w:t>、其他交通费</w:t>
      </w:r>
      <w:r>
        <w:rPr>
          <w:rFonts w:hint="eastAsia" w:eastAsia="仿宋_GB2312" w:cs="Times New Roman"/>
          <w:sz w:val="32"/>
          <w:szCs w:val="32"/>
          <w:lang w:val="en-US" w:eastAsia="zh-CN"/>
        </w:rPr>
        <w:t>36.26万元</w:t>
      </w:r>
      <w:r>
        <w:rPr>
          <w:rFonts w:hint="default" w:ascii="Times New Roman" w:hAnsi="Times New Roman" w:eastAsia="仿宋_GB2312" w:cs="Times New Roman"/>
          <w:sz w:val="32"/>
          <w:szCs w:val="32"/>
        </w:rPr>
        <w:t>、其他商品和服务支出</w:t>
      </w:r>
      <w:r>
        <w:rPr>
          <w:rFonts w:hint="eastAsia" w:eastAsia="仿宋_GB2312" w:cs="Times New Roman"/>
          <w:sz w:val="32"/>
          <w:szCs w:val="32"/>
          <w:lang w:val="en-US" w:eastAsia="zh-CN"/>
        </w:rPr>
        <w:t>21.90万元</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spacing w:line="600" w:lineRule="exact"/>
        <w:ind w:firstLine="640"/>
        <w:jc w:val="both"/>
        <w:textAlignment w:val="auto"/>
        <w:outlineLvl w:val="1"/>
        <w:rPr>
          <w:rStyle w:val="21"/>
          <w:rFonts w:hint="default" w:ascii="Times New Roman" w:hAnsi="Times New Roman" w:eastAsia="黑体" w:cs="Times New Roman"/>
          <w:b w:val="0"/>
          <w:color w:val="auto"/>
          <w:highlight w:val="none"/>
        </w:rPr>
      </w:pPr>
      <w:bookmarkStart w:id="50" w:name="_Toc15396609"/>
      <w:bookmarkStart w:id="51" w:name="_Toc1616087466_WPSOffice_Level2"/>
      <w:bookmarkStart w:id="52" w:name="_Toc15377215"/>
      <w:r>
        <w:rPr>
          <w:rFonts w:hint="default" w:ascii="Times New Roman" w:hAnsi="Times New Roman" w:eastAsia="黑体" w:cs="Times New Roman"/>
          <w:color w:val="auto"/>
          <w:sz w:val="32"/>
          <w:szCs w:val="32"/>
          <w:highlight w:val="none"/>
        </w:rPr>
        <w:t>七、</w:t>
      </w:r>
      <w:r>
        <w:rPr>
          <w:rStyle w:val="21"/>
          <w:rFonts w:hint="default" w:ascii="Times New Roman" w:hAnsi="Times New Roman" w:eastAsia="黑体" w:cs="Times New Roman"/>
          <w:b w:val="0"/>
          <w:color w:val="auto"/>
          <w:highlight w:val="none"/>
        </w:rPr>
        <w:t>财政拨款</w:t>
      </w:r>
      <w:r>
        <w:rPr>
          <w:rStyle w:val="21"/>
          <w:rFonts w:hint="default" w:ascii="Times New Roman" w:hAnsi="Times New Roman" w:eastAsia="黑体" w:cs="Times New Roman"/>
          <w:color w:val="auto"/>
          <w:highlight w:val="none"/>
        </w:rPr>
        <w:t>“</w:t>
      </w:r>
      <w:r>
        <w:rPr>
          <w:rStyle w:val="21"/>
          <w:rFonts w:hint="default" w:ascii="Times New Roman" w:hAnsi="Times New Roman" w:eastAsia="黑体" w:cs="Times New Roman"/>
          <w:b w:val="0"/>
          <w:color w:val="auto"/>
          <w:highlight w:val="none"/>
        </w:rPr>
        <w:t>三公”经费支出决算情况说明</w:t>
      </w:r>
      <w:bookmarkEnd w:id="50"/>
      <w:bookmarkEnd w:id="51"/>
      <w:bookmarkEnd w:id="52"/>
    </w:p>
    <w:p>
      <w:pPr>
        <w:pageBreakBefore w:val="0"/>
        <w:widowControl w:val="0"/>
        <w:kinsoku/>
        <w:wordWrap/>
        <w:overflowPunct/>
        <w:topLinePunct w:val="0"/>
        <w:autoSpaceDE/>
        <w:autoSpaceDN/>
        <w:bidi w:val="0"/>
        <w:spacing w:line="600" w:lineRule="exact"/>
        <w:ind w:firstLine="642" w:firstLineChars="200"/>
        <w:jc w:val="both"/>
        <w:textAlignment w:val="auto"/>
        <w:outlineLvl w:val="2"/>
        <w:rPr>
          <w:rFonts w:hint="default" w:ascii="Times New Roman" w:hAnsi="Times New Roman" w:eastAsia="楷体_GB2312" w:cs="Times New Roman"/>
          <w:b/>
          <w:color w:val="auto"/>
          <w:sz w:val="32"/>
          <w:szCs w:val="32"/>
          <w:highlight w:val="none"/>
        </w:rPr>
      </w:pPr>
      <w:bookmarkStart w:id="53"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53"/>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14.54</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 xml:space="preserve">%，较上年度减少2.51万元，下降14.72%。决算数与预算数持平。 </w:t>
      </w:r>
    </w:p>
    <w:p>
      <w:pPr>
        <w:pageBreakBefore w:val="0"/>
        <w:widowControl w:val="0"/>
        <w:kinsoku/>
        <w:wordWrap/>
        <w:overflowPunct/>
        <w:topLinePunct w:val="0"/>
        <w:autoSpaceDE/>
        <w:autoSpaceDN/>
        <w:bidi w:val="0"/>
        <w:spacing w:line="600" w:lineRule="exact"/>
        <w:ind w:firstLine="642" w:firstLineChars="200"/>
        <w:jc w:val="both"/>
        <w:textAlignment w:val="auto"/>
        <w:outlineLvl w:val="2"/>
        <w:rPr>
          <w:rFonts w:hint="default" w:ascii="Times New Roman" w:hAnsi="Times New Roman" w:eastAsia="楷体_GB2312" w:cs="Times New Roman"/>
          <w:b/>
          <w:color w:val="auto"/>
          <w:sz w:val="32"/>
          <w:szCs w:val="32"/>
          <w:highlight w:val="none"/>
        </w:rPr>
      </w:pPr>
      <w:bookmarkStart w:id="54" w:name="_Toc15377217"/>
      <w:r>
        <w:rPr>
          <w:rFonts w:hint="default" w:ascii="Times New Roman" w:hAnsi="Times New Roman" w:eastAsia="仿宋_GB2312" w:cs="Times New Roman"/>
          <w:b/>
          <w:bCs/>
          <w:color w:val="auto"/>
          <w:kern w:val="2"/>
          <w:sz w:val="32"/>
          <w:szCs w:val="32"/>
          <w:highlight w:val="none"/>
          <w:lang w:val="en-US" w:eastAsia="zh-CN" w:bidi="ar-SA"/>
        </w:rPr>
        <w:t xml:space="preserve"> </w:t>
      </w:r>
      <w:r>
        <w:rPr>
          <w:rFonts w:hint="default" w:ascii="Times New Roman" w:hAnsi="Times New Roman" w:eastAsia="楷体_GB2312" w:cs="Times New Roman"/>
          <w:b/>
          <w:color w:val="auto"/>
          <w:sz w:val="32"/>
          <w:szCs w:val="32"/>
          <w:highlight w:val="none"/>
        </w:rPr>
        <w:t>（二）“三公”经费财政拨款支出决算具体情况说明</w:t>
      </w:r>
      <w:bookmarkEnd w:id="54"/>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12.2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kern w:val="2"/>
          <w:sz w:val="32"/>
          <w:szCs w:val="32"/>
          <w:highlight w:val="none"/>
          <w:lang w:val="en-US" w:eastAsia="zh-CN" w:bidi="ar-SA"/>
        </w:rPr>
        <w:t>万元，占83.98%；公务接待费支出决算</w:t>
      </w:r>
      <w:r>
        <w:rPr>
          <w:rFonts w:hint="default" w:ascii="Times New Roman" w:hAnsi="Times New Roman" w:eastAsia="仿宋_GB2312" w:cs="Times New Roman"/>
          <w:sz w:val="32"/>
          <w:szCs w:val="32"/>
        </w:rPr>
        <w:t>2.33</w:t>
      </w:r>
      <w:r>
        <w:rPr>
          <w:rFonts w:hint="default" w:ascii="Times New Roman" w:hAnsi="Times New Roman" w:eastAsia="仿宋_GB2312" w:cs="Times New Roman"/>
          <w:color w:val="auto"/>
          <w:kern w:val="2"/>
          <w:sz w:val="32"/>
          <w:szCs w:val="32"/>
          <w:highlight w:val="none"/>
          <w:lang w:val="en-US" w:eastAsia="zh-CN" w:bidi="ar-SA"/>
        </w:rPr>
        <w:t>万元，占16.02%。具体情况如下：</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（图7：“三公”经费财政拨款支出结构）（饼状图）</w:t>
      </w:r>
    </w:p>
    <w:p>
      <w:pPr>
        <w:pStyle w:val="2"/>
        <w:pageBreakBefore w:val="0"/>
        <w:widowControl w:val="0"/>
        <w:kinsoku/>
        <w:wordWrap/>
        <w:overflowPunct/>
        <w:topLinePunct w:val="0"/>
        <w:autoSpaceDE/>
        <w:autoSpaceDN/>
        <w:bidi w:val="0"/>
        <w:jc w:val="both"/>
        <w:textAlignment w:val="auto"/>
        <w:rPr>
          <w:rFonts w:hint="default" w:ascii="Times New Roman" w:hAnsi="Times New Roman" w:cs="Times New Roman"/>
          <w:lang w:val="en" w:eastAsia="zh-CN"/>
        </w:rPr>
      </w:pPr>
      <w:r>
        <w:rPr>
          <w:rFonts w:hint="default" w:ascii="Times New Roman" w:cs="Times New Roman"/>
          <w:lang w:val="en" w:eastAsia="zh-CN"/>
        </w:rPr>
        <w:t xml:space="preserve">  </w:t>
      </w:r>
      <w:r>
        <w:drawing>
          <wp:inline distT="0" distB="0" distL="114300" distR="114300">
            <wp:extent cx="4572000" cy="3028950"/>
            <wp:effectExtent l="4445" t="4445" r="14605" b="14605"/>
            <wp:docPr id="718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ageBreakBefore w:val="0"/>
        <w:widowControl w:val="0"/>
        <w:kinsoku/>
        <w:wordWrap/>
        <w:overflowPunct/>
        <w:topLinePunct w:val="0"/>
        <w:autoSpaceDE/>
        <w:autoSpaceDN/>
        <w:bidi w:val="0"/>
        <w:spacing w:line="600" w:lineRule="exact"/>
        <w:ind w:firstLine="640"/>
        <w:jc w:val="both"/>
        <w:textAlignment w:val="auto"/>
        <w:outlineLvl w:val="1"/>
        <w:rPr>
          <w:rFonts w:hint="default" w:ascii="Times New Roman" w:hAnsi="Times New Roman" w:eastAsia="仿宋_GB2312" w:cs="Times New Roman"/>
          <w:b/>
          <w:sz w:val="32"/>
          <w:szCs w:val="32"/>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b/>
          <w:bCs/>
          <w:sz w:val="32"/>
          <w:szCs w:val="32"/>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b/>
          <w:bCs/>
          <w:sz w:val="32"/>
          <w:szCs w:val="32"/>
        </w:rPr>
        <w:t>0</w:t>
      </w:r>
      <w:r>
        <w:rPr>
          <w:rFonts w:hint="default" w:ascii="Times New Roman" w:hAnsi="Times New Roman" w:eastAsia="仿宋_GB2312" w:cs="Times New Roman"/>
          <w:sz w:val="32"/>
          <w:szCs w:val="32"/>
        </w:rPr>
        <w:t>人。因公出国（境）支出决算比202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我单位无因公出国（境）费用</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autoSpaceDN/>
        <w:bidi w:val="0"/>
        <w:spacing w:line="600" w:lineRule="exact"/>
        <w:ind w:firstLine="640"/>
        <w:jc w:val="both"/>
        <w:textAlignment w:val="auto"/>
        <w:outlineLvl w:val="1"/>
        <w:rPr>
          <w:rFonts w:hint="eastAsia" w:ascii="Times New Roman" w:hAnsi="Times New Roman" w:eastAsia="仿宋_GB2312" w:cs="Times New Roman"/>
          <w:b/>
          <w:color w:val="auto"/>
          <w:sz w:val="32"/>
          <w:szCs w:val="32"/>
          <w:lang w:val="en" w:eastAsia="zh-CN"/>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2.公务用车购置及运行维护费支出12.21万元，完成预算100%。</w:t>
      </w:r>
      <w:r>
        <w:rPr>
          <w:rFonts w:hint="default" w:ascii="Times New Roman" w:hAnsi="Times New Roman" w:eastAsia="仿宋_GB2312" w:cs="Times New Roman"/>
          <w:sz w:val="32"/>
          <w:szCs w:val="32"/>
        </w:rPr>
        <w:t>公务用车购置及运行维护费支出决算比202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年度减少</w:t>
      </w:r>
      <w:r>
        <w:rPr>
          <w:rFonts w:hint="default" w:ascii="Times New Roman" w:hAnsi="Times New Roman" w:eastAsia="仿宋_GB2312" w:cs="Times New Roman"/>
          <w:b w:val="0"/>
          <w:bCs w:val="0"/>
          <w:sz w:val="32"/>
          <w:szCs w:val="32"/>
          <w:lang w:val="en-US" w:eastAsia="zh-CN"/>
        </w:rPr>
        <w:t>2.37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b w:val="0"/>
          <w:bCs w:val="0"/>
          <w:sz w:val="32"/>
          <w:szCs w:val="32"/>
          <w:lang w:val="en-US" w:eastAsia="zh-CN"/>
        </w:rPr>
        <w:t>16.26</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减少的</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厉行节约，压减三公经费开支。</w:t>
      </w:r>
    </w:p>
    <w:p>
      <w:pPr>
        <w:pageBreakBefore w:val="0"/>
        <w:widowControl w:val="0"/>
        <w:kinsoku/>
        <w:wordWrap/>
        <w:overflowPunct/>
        <w:topLinePunct w:val="0"/>
        <w:autoSpaceDE/>
        <w:autoSpaceDN/>
        <w:bidi w:val="0"/>
        <w:spacing w:line="600" w:lineRule="exact"/>
        <w:ind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b/>
          <w:color w:val="auto"/>
          <w:sz w:val="32"/>
          <w:szCs w:val="32"/>
        </w:rPr>
        <w:t>公务用车购置支出</w:t>
      </w:r>
      <w:r>
        <w:rPr>
          <w:rFonts w:hint="default" w:ascii="Times New Roman" w:hAnsi="Times New Roman" w:eastAsia="仿宋_GB2312" w:cs="Times New Roman"/>
          <w:b/>
          <w:bCs/>
          <w:sz w:val="32"/>
          <w:szCs w:val="32"/>
          <w:lang w:val="en-US" w:eastAsia="zh-CN"/>
        </w:rPr>
        <w:t>0</w:t>
      </w:r>
      <w:r>
        <w:rPr>
          <w:rFonts w:hint="default" w:ascii="Times New Roman" w:hAnsi="Times New Roman" w:eastAsia="仿宋_GB2312" w:cs="Times New Roman"/>
          <w:b/>
          <w:bCs/>
          <w:color w:val="auto"/>
          <w:sz w:val="32"/>
          <w:szCs w:val="32"/>
        </w:rPr>
        <w:t>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万元。截至202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年12月31日，单位共有公务用车</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pPr>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12.2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sz w:val="32"/>
          <w:szCs w:val="32"/>
        </w:rPr>
        <w:t>主要用于防汛抗旱、农田水利建设、水土保持、河道管理及水利工程调研、检查、绩效考评等所需的公务用车燃料费、维修费、过路过桥费、保险费等支出。</w:t>
      </w:r>
    </w:p>
    <w:p>
      <w:pPr>
        <w:pageBreakBefore w:val="0"/>
        <w:widowControl w:val="0"/>
        <w:kinsoku/>
        <w:wordWrap/>
        <w:overflowPunct/>
        <w:topLinePunct w:val="0"/>
        <w:autoSpaceDE/>
        <w:autoSpaceDN/>
        <w:bidi w:val="0"/>
        <w:spacing w:line="600" w:lineRule="exact"/>
        <w:ind w:firstLine="640"/>
        <w:jc w:val="both"/>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3.公务接待费支出2.33万元，完成预算100%。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公务接待费支出决算比2023年度减少0.14万元，下降5.67%。减少的主要原因是</w:t>
      </w:r>
      <w:r>
        <w:rPr>
          <w:rFonts w:hint="default" w:ascii="Times New Roman" w:hAnsi="Times New Roman" w:eastAsia="仿宋_GB2312" w:cs="Times New Roman"/>
          <w:sz w:val="32"/>
          <w:szCs w:val="32"/>
          <w:lang w:eastAsia="zh-CN"/>
        </w:rPr>
        <w:t>按</w:t>
      </w:r>
      <w:r>
        <w:rPr>
          <w:rFonts w:hint="default" w:ascii="Times New Roman" w:hAnsi="Times New Roman" w:eastAsia="仿宋_GB2312" w:cs="Times New Roman"/>
          <w:color w:val="auto"/>
          <w:sz w:val="32"/>
          <w:szCs w:val="32"/>
          <w:lang w:eastAsia="zh-CN"/>
        </w:rPr>
        <w:t>厉行节约原则，严格控制三公经费的使用。</w:t>
      </w:r>
      <w:r>
        <w:rPr>
          <w:rFonts w:hint="default" w:ascii="Times New Roman" w:hAnsi="Times New Roman" w:eastAsia="仿宋_GB2312" w:cs="Times New Roman"/>
          <w:color w:val="auto"/>
          <w:kern w:val="2"/>
          <w:sz w:val="32"/>
          <w:szCs w:val="32"/>
          <w:highlight w:val="none"/>
          <w:lang w:val="en-US" w:eastAsia="zh-CN" w:bidi="ar-SA"/>
        </w:rPr>
        <w:t>其中：</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color w:val="auto"/>
          <w:sz w:val="32"/>
          <w:szCs w:val="32"/>
        </w:rPr>
        <w:t>2.33</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color w:val="auto"/>
          <w:sz w:val="32"/>
          <w:szCs w:val="32"/>
        </w:rPr>
        <w:t>主要用于</w:t>
      </w:r>
      <w:r>
        <w:rPr>
          <w:rFonts w:hint="default" w:ascii="Times New Roman" w:hAnsi="Times New Roman" w:eastAsia="仿宋_GB2312" w:cs="Times New Roman"/>
          <w:color w:val="auto"/>
          <w:sz w:val="32"/>
          <w:szCs w:val="32"/>
          <w:lang w:eastAsia="zh-CN"/>
        </w:rPr>
        <w:t>水权水价改革、</w:t>
      </w:r>
      <w:r>
        <w:rPr>
          <w:rFonts w:hint="default" w:ascii="Times New Roman" w:hAnsi="Times New Roman" w:eastAsia="仿宋_GB2312" w:cs="Times New Roman"/>
          <w:color w:val="auto"/>
          <w:sz w:val="32"/>
          <w:szCs w:val="32"/>
        </w:rPr>
        <w:t>防汛抗旱、农田水利建设、水土保持、河道管理及水利工程调研、检查、绩效考评等执行公务、开展业务活动开支的</w:t>
      </w:r>
      <w:r>
        <w:rPr>
          <w:rFonts w:hint="default" w:ascii="Times New Roman" w:hAnsi="Times New Roman" w:eastAsia="仿宋_GB2312" w:cs="Times New Roman"/>
          <w:color w:val="auto"/>
          <w:sz w:val="32"/>
          <w:szCs w:val="32"/>
          <w:lang w:eastAsia="zh-CN"/>
        </w:rPr>
        <w:t>餐费</w:t>
      </w:r>
      <w:r>
        <w:rPr>
          <w:rFonts w:hint="default" w:ascii="Times New Roman" w:hAnsi="Times New Roman" w:eastAsia="仿宋_GB2312" w:cs="Times New Roman"/>
          <w:color w:val="auto"/>
          <w:kern w:val="2"/>
          <w:sz w:val="32"/>
          <w:szCs w:val="32"/>
          <w:highlight w:val="none"/>
          <w:lang w:val="en-US" w:eastAsia="zh-CN" w:bidi="ar-SA"/>
        </w:rPr>
        <w:t>。国内公务接待</w:t>
      </w:r>
      <w:r>
        <w:rPr>
          <w:rFonts w:hint="default" w:ascii="Times New Roman" w:hAnsi="Times New Roman" w:eastAsia="仿宋_GB2312" w:cs="Times New Roman"/>
          <w:color w:val="auto"/>
          <w:sz w:val="32"/>
          <w:szCs w:val="32"/>
        </w:rPr>
        <w:t>18</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color w:val="auto"/>
          <w:sz w:val="32"/>
          <w:szCs w:val="32"/>
        </w:rPr>
        <w:t>114</w:t>
      </w:r>
      <w:r>
        <w:rPr>
          <w:rFonts w:hint="default" w:ascii="Times New Roman" w:hAnsi="Times New Roman" w:eastAsia="仿宋_GB2312" w:cs="Times New Roman"/>
          <w:color w:val="auto"/>
          <w:kern w:val="2"/>
          <w:sz w:val="32"/>
          <w:szCs w:val="32"/>
          <w:highlight w:val="none"/>
          <w:lang w:val="en-US" w:eastAsia="zh-CN" w:bidi="ar-SA"/>
        </w:rPr>
        <w:t>人次（不包括陪同人员），共计支出2.33万元，具体内容包括：省水利系统生态环境保护突出问题排查整治工作专项督导检查0.1万元、水利厅开展水资源管理与水权水价改革工作现场调研0.19万元、省水利厅调研经典水利水电工程移民案例0.13万元、成都市水务局调研安宁河流域及仁和区水权水价改革工作0.123万元、考察学习水权水价改革方面先进经验和亮点做法工作0.12万元、开展水安全新问题治理整改专项督导工作0.05万元、省水资源调度管理中心开展安宁河流域水资源调度评估调研0.075万元、长江委农水局省农水中心调研仁和</w:t>
      </w:r>
      <w:r>
        <w:rPr>
          <w:rFonts w:hint="eastAsia" w:eastAsia="仿宋_GB2312" w:cs="Times New Roman"/>
          <w:color w:val="auto"/>
          <w:kern w:val="2"/>
          <w:sz w:val="32"/>
          <w:szCs w:val="32"/>
          <w:highlight w:val="none"/>
          <w:lang w:val="en-US" w:eastAsia="zh-CN" w:bidi="ar-SA"/>
        </w:rPr>
        <w:t>区和</w:t>
      </w:r>
      <w:r>
        <w:rPr>
          <w:rFonts w:hint="default" w:ascii="Times New Roman" w:hAnsi="Times New Roman" w:eastAsia="仿宋_GB2312" w:cs="Times New Roman"/>
          <w:color w:val="auto"/>
          <w:kern w:val="2"/>
          <w:sz w:val="32"/>
          <w:szCs w:val="32"/>
          <w:highlight w:val="none"/>
          <w:lang w:val="en-US" w:eastAsia="zh-CN" w:bidi="ar-SA"/>
        </w:rPr>
        <w:t>米易</w:t>
      </w:r>
      <w:r>
        <w:rPr>
          <w:rFonts w:hint="eastAsia" w:eastAsia="仿宋_GB2312" w:cs="Times New Roman"/>
          <w:color w:val="auto"/>
          <w:kern w:val="2"/>
          <w:sz w:val="32"/>
          <w:szCs w:val="32"/>
          <w:highlight w:val="none"/>
          <w:lang w:val="en-US" w:eastAsia="zh-CN" w:bidi="ar-SA"/>
        </w:rPr>
        <w:t>县</w:t>
      </w:r>
      <w:r>
        <w:rPr>
          <w:rFonts w:hint="default" w:ascii="Times New Roman" w:hAnsi="Times New Roman" w:eastAsia="仿宋_GB2312" w:cs="Times New Roman"/>
          <w:color w:val="auto"/>
          <w:kern w:val="2"/>
          <w:sz w:val="32"/>
          <w:szCs w:val="32"/>
          <w:highlight w:val="none"/>
          <w:lang w:val="en-US" w:eastAsia="zh-CN" w:bidi="ar-SA"/>
        </w:rPr>
        <w:t>国债项目0.088万元、成都市水务局来攀开展水资源管理交叉检查0.19万元、中信建设有限公司来攀对接工作0.11万元、省水利厅调研仁和区水权水价改革及农业用水权改革进展情况0.1万元、海宁市市政府到我市交流学习攀枝花灌区工程等重大水利工程前期谋划建设运行管理0.21万元、四川省都江堰水利发展中心人民渠第二管理处学习考察0.26万元、南充市水务局开展2024年度农村供水工作标准化管理评价及农业水价综合改革市州交叉复核调研工作0.11万元、开展2024年度第二批省级生产建设项目水土保持设施自主验收核查0.07万元、开展大中型水利工程项目投融资与建设管理等内容学习调研0.18万元、中信建设公司来攀对接水利项目工作0.22万元。</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p>
    <w:p>
      <w:pPr>
        <w:pageBreakBefore w:val="0"/>
        <w:widowControl w:val="0"/>
        <w:kinsoku/>
        <w:wordWrap/>
        <w:overflowPunct/>
        <w:topLinePunct w:val="0"/>
        <w:autoSpaceDE/>
        <w:autoSpaceDN/>
        <w:bidi w:val="0"/>
        <w:spacing w:line="600" w:lineRule="exact"/>
        <w:ind w:firstLine="640" w:firstLineChars="200"/>
        <w:jc w:val="both"/>
        <w:textAlignment w:val="auto"/>
        <w:outlineLvl w:val="1"/>
        <w:rPr>
          <w:rStyle w:val="21"/>
          <w:rFonts w:hint="default" w:ascii="Times New Roman" w:hAnsi="Times New Roman" w:eastAsia="黑体" w:cs="Times New Roman"/>
          <w:color w:val="auto"/>
          <w:highlight w:val="none"/>
        </w:rPr>
      </w:pPr>
      <w:bookmarkStart w:id="55" w:name="_Toc15377218"/>
      <w:bookmarkStart w:id="56" w:name="_Toc1920178680_WPSOffice_Level2"/>
      <w:bookmarkStart w:id="57" w:name="_Toc15396610"/>
      <w:r>
        <w:rPr>
          <w:rFonts w:hint="default" w:ascii="Times New Roman" w:hAnsi="Times New Roman" w:eastAsia="黑体" w:cs="Times New Roman"/>
          <w:color w:val="auto"/>
          <w:sz w:val="32"/>
          <w:szCs w:val="32"/>
          <w:highlight w:val="none"/>
        </w:rPr>
        <w:t>八、</w:t>
      </w:r>
      <w:r>
        <w:rPr>
          <w:rStyle w:val="21"/>
          <w:rFonts w:hint="default" w:ascii="Times New Roman" w:hAnsi="Times New Roman" w:eastAsia="黑体" w:cs="Times New Roman"/>
          <w:b w:val="0"/>
          <w:color w:val="auto"/>
          <w:highlight w:val="none"/>
        </w:rPr>
        <w:t>政府性基金预算支出决算情况说明</w:t>
      </w:r>
      <w:bookmarkEnd w:id="55"/>
      <w:bookmarkEnd w:id="56"/>
      <w:bookmarkEnd w:id="57"/>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272.34</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13.6</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%。与2023年度相比，政府性基金预算财政拨款支出减少113.24万元，下降29.37%。主要变动原因是一是项目减少</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二是部分项目</w:t>
      </w:r>
      <w:r>
        <w:rPr>
          <w:rFonts w:hint="eastAsia" w:eastAsia="仿宋_GB2312" w:cs="Times New Roman"/>
          <w:color w:val="auto"/>
          <w:kern w:val="2"/>
          <w:sz w:val="32"/>
          <w:szCs w:val="32"/>
          <w:highlight w:val="none"/>
          <w:lang w:val="en-US" w:eastAsia="zh-CN" w:bidi="ar-SA"/>
        </w:rPr>
        <w:t>原来下达在政府性基金</w:t>
      </w:r>
      <w:r>
        <w:rPr>
          <w:rFonts w:hint="default" w:ascii="Times New Roman" w:hAnsi="Times New Roman" w:eastAsia="仿宋_GB2312" w:cs="Times New Roman"/>
          <w:color w:val="auto"/>
          <w:kern w:val="2"/>
          <w:sz w:val="32"/>
          <w:szCs w:val="32"/>
          <w:highlight w:val="none"/>
          <w:lang w:val="en-US" w:eastAsia="zh-CN" w:bidi="ar-SA"/>
        </w:rPr>
        <w:t>预算</w:t>
      </w:r>
      <w:r>
        <w:rPr>
          <w:rFonts w:hint="eastAsia" w:eastAsia="仿宋_GB2312" w:cs="Times New Roman"/>
          <w:color w:val="auto"/>
          <w:kern w:val="2"/>
          <w:sz w:val="32"/>
          <w:szCs w:val="32"/>
          <w:highlight w:val="none"/>
          <w:lang w:val="en-US" w:eastAsia="zh-CN" w:bidi="ar-SA"/>
        </w:rPr>
        <w:t>支出科目现下达到一般公共财政预算拨款支出科目</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 xml:space="preserve"> </w:t>
      </w:r>
    </w:p>
    <w:p>
      <w:pPr>
        <w:pageBreakBefore w:val="0"/>
        <w:widowControl w:val="0"/>
        <w:kinsoku/>
        <w:wordWrap/>
        <w:overflowPunct/>
        <w:topLinePunct w:val="0"/>
        <w:autoSpaceDE/>
        <w:autoSpaceDN/>
        <w:bidi w:val="0"/>
        <w:spacing w:line="600" w:lineRule="exact"/>
        <w:ind w:left="630"/>
        <w:jc w:val="both"/>
        <w:textAlignment w:val="auto"/>
        <w:outlineLvl w:val="1"/>
        <w:rPr>
          <w:rStyle w:val="21"/>
          <w:rFonts w:hint="default" w:ascii="Times New Roman" w:hAnsi="Times New Roman" w:eastAsia="黑体" w:cs="Times New Roman"/>
          <w:b w:val="0"/>
          <w:color w:val="auto"/>
          <w:highlight w:val="none"/>
        </w:rPr>
      </w:pPr>
      <w:bookmarkStart w:id="58" w:name="_Toc15377219"/>
      <w:bookmarkStart w:id="59" w:name="_Toc15396611"/>
      <w:bookmarkStart w:id="60" w:name="_Toc833689989_WPSOffice_Level2"/>
      <w:r>
        <w:rPr>
          <w:rStyle w:val="21"/>
          <w:rFonts w:hint="default" w:ascii="Times New Roman" w:hAnsi="Times New Roman" w:eastAsia="黑体" w:cs="Times New Roman"/>
          <w:b w:val="0"/>
          <w:color w:val="auto"/>
          <w:highlight w:val="none"/>
          <w:lang w:eastAsia="zh-CN"/>
        </w:rPr>
        <w:t>九、</w:t>
      </w:r>
      <w:r>
        <w:rPr>
          <w:rStyle w:val="21"/>
          <w:rFonts w:hint="default" w:ascii="Times New Roman" w:hAnsi="Times New Roman" w:eastAsia="黑体" w:cs="Times New Roman"/>
          <w:b w:val="0"/>
          <w:color w:val="auto"/>
          <w:highlight w:val="none"/>
        </w:rPr>
        <w:t>国有资本经营预算支出决算情况说明</w:t>
      </w:r>
      <w:bookmarkEnd w:id="58"/>
      <w:bookmarkEnd w:id="59"/>
      <w:bookmarkEnd w:id="60"/>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%。与2023年度相比无变化。</w:t>
      </w:r>
    </w:p>
    <w:p>
      <w:pPr>
        <w:pageBreakBefore w:val="0"/>
        <w:widowControl w:val="0"/>
        <w:kinsoku/>
        <w:wordWrap/>
        <w:overflowPunct/>
        <w:topLinePunct w:val="0"/>
        <w:autoSpaceDE/>
        <w:autoSpaceDN/>
        <w:bidi w:val="0"/>
        <w:spacing w:line="600" w:lineRule="exact"/>
        <w:ind w:left="0" w:firstLine="640" w:firstLineChars="200"/>
        <w:jc w:val="both"/>
        <w:textAlignment w:val="auto"/>
        <w:outlineLvl w:val="1"/>
        <w:rPr>
          <w:rStyle w:val="21"/>
          <w:rFonts w:hint="default" w:ascii="Times New Roman" w:hAnsi="Times New Roman" w:eastAsia="黑体" w:cs="Times New Roman"/>
          <w:b w:val="0"/>
          <w:color w:val="auto"/>
          <w:highlight w:val="none"/>
        </w:rPr>
      </w:pPr>
      <w:bookmarkStart w:id="61" w:name="_Toc15377221"/>
      <w:bookmarkStart w:id="62" w:name="_Toc1217347560_WPSOffice_Level2"/>
      <w:bookmarkStart w:id="63" w:name="_Toc15396612"/>
      <w:r>
        <w:rPr>
          <w:rStyle w:val="21"/>
          <w:rFonts w:hint="default" w:ascii="Times New Roman" w:hAnsi="Times New Roman" w:eastAsia="黑体" w:cs="Times New Roman"/>
          <w:b w:val="0"/>
          <w:color w:val="auto"/>
          <w:highlight w:val="none"/>
          <w:lang w:eastAsia="zh-CN"/>
        </w:rPr>
        <w:t>十、</w:t>
      </w:r>
      <w:r>
        <w:rPr>
          <w:rStyle w:val="21"/>
          <w:rFonts w:hint="default" w:ascii="Times New Roman" w:hAnsi="Times New Roman" w:eastAsia="黑体" w:cs="Times New Roman"/>
          <w:b w:val="0"/>
          <w:color w:val="auto"/>
          <w:highlight w:val="none"/>
        </w:rPr>
        <w:t>其他重要事项的情况说明</w:t>
      </w:r>
      <w:bookmarkEnd w:id="61"/>
      <w:bookmarkEnd w:id="62"/>
      <w:bookmarkEnd w:id="63"/>
    </w:p>
    <w:p>
      <w:pPr>
        <w:pageBreakBefore w:val="0"/>
        <w:widowControl w:val="0"/>
        <w:kinsoku/>
        <w:wordWrap/>
        <w:overflowPunct/>
        <w:topLinePunct w:val="0"/>
        <w:autoSpaceDE/>
        <w:autoSpaceDN/>
        <w:bidi w:val="0"/>
        <w:spacing w:line="600" w:lineRule="exact"/>
        <w:ind w:firstLine="642" w:firstLineChars="200"/>
        <w:jc w:val="both"/>
        <w:textAlignment w:val="auto"/>
        <w:outlineLvl w:val="2"/>
        <w:rPr>
          <w:rFonts w:hint="default" w:ascii="Times New Roman" w:hAnsi="Times New Roman" w:eastAsia="楷体_GB2312" w:cs="Times New Roman"/>
          <w:b/>
          <w:color w:val="auto"/>
          <w:sz w:val="32"/>
          <w:szCs w:val="32"/>
          <w:highlight w:val="none"/>
        </w:rPr>
      </w:pPr>
      <w:bookmarkStart w:id="64" w:name="_Toc15377222"/>
      <w:r>
        <w:rPr>
          <w:rFonts w:hint="default" w:ascii="Times New Roman" w:hAnsi="Times New Roman" w:eastAsia="楷体_GB2312" w:cs="Times New Roman"/>
          <w:b/>
          <w:color w:val="auto"/>
          <w:sz w:val="32"/>
          <w:szCs w:val="32"/>
          <w:highlight w:val="none"/>
        </w:rPr>
        <w:t>（一）机关运行经费支出情况</w:t>
      </w:r>
      <w:bookmarkEnd w:id="64"/>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四川省攀枝花市水利局（本级）</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184.24</w:t>
      </w:r>
      <w:r>
        <w:rPr>
          <w:rFonts w:hint="default" w:ascii="Times New Roman" w:hAnsi="Times New Roman" w:eastAsia="仿宋_GB2312" w:cs="Times New Roman"/>
          <w:color w:val="auto"/>
          <w:kern w:val="2"/>
          <w:sz w:val="32"/>
          <w:szCs w:val="32"/>
          <w:highlight w:val="none"/>
          <w:lang w:val="en-US" w:eastAsia="zh-CN" w:bidi="ar-SA"/>
        </w:rPr>
        <w:t>万元，比2023年度减少18.28万元，下降9.92% 。主要原因是</w:t>
      </w:r>
      <w:r>
        <w:rPr>
          <w:rFonts w:hint="default" w:ascii="Times New Roman" w:hAnsi="Times New Roman" w:eastAsia="仿宋_GB2312" w:cs="Times New Roman"/>
          <w:sz w:val="32"/>
          <w:szCs w:val="32"/>
          <w:highlight w:val="none"/>
          <w:lang w:val="en-US" w:eastAsia="zh-CN"/>
        </w:rPr>
        <w:t>参公机构水政监察执法支队连人带编划转到市应急管理局，相应人员经费和公用经费减少。</w:t>
      </w:r>
    </w:p>
    <w:p>
      <w:pPr>
        <w:pageBreakBefore w:val="0"/>
        <w:widowControl w:val="0"/>
        <w:kinsoku/>
        <w:wordWrap/>
        <w:overflowPunct/>
        <w:topLinePunct w:val="0"/>
        <w:autoSpaceDE/>
        <w:autoSpaceDN/>
        <w:bidi w:val="0"/>
        <w:spacing w:line="600" w:lineRule="exact"/>
        <w:ind w:firstLine="642" w:firstLineChars="200"/>
        <w:jc w:val="both"/>
        <w:textAlignment w:val="auto"/>
        <w:outlineLvl w:val="2"/>
        <w:rPr>
          <w:rFonts w:hint="default" w:ascii="Times New Roman" w:hAnsi="Times New Roman" w:eastAsia="楷体_GB2312" w:cs="Times New Roman"/>
          <w:b/>
          <w:color w:val="auto"/>
          <w:sz w:val="32"/>
          <w:szCs w:val="32"/>
          <w:highlight w:val="none"/>
        </w:rPr>
      </w:pPr>
      <w:bookmarkStart w:id="65" w:name="_Toc15377223"/>
      <w:r>
        <w:rPr>
          <w:rFonts w:hint="default" w:ascii="Times New Roman" w:hAnsi="Times New Roman" w:eastAsia="楷体_GB2312" w:cs="Times New Roman"/>
          <w:b/>
          <w:color w:val="auto"/>
          <w:sz w:val="32"/>
          <w:szCs w:val="32"/>
          <w:highlight w:val="none"/>
        </w:rPr>
        <w:t>（二）政府采购支出情况</w:t>
      </w:r>
      <w:bookmarkEnd w:id="65"/>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四川省攀枝花市水利局（本级）</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235.36</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3.45</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231.91</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hint="default" w:ascii="Times New Roman" w:hAnsi="Times New Roman" w:eastAsia="仿宋_GB2312" w:cs="Times New Roman"/>
          <w:sz w:val="32"/>
          <w:szCs w:val="32"/>
          <w:lang w:val="en-US" w:eastAsia="zh-CN"/>
        </w:rPr>
        <w:t>主要用于</w:t>
      </w:r>
      <w:r>
        <w:rPr>
          <w:rFonts w:hint="default" w:ascii="Times New Roman" w:hAnsi="Times New Roman" w:eastAsia="仿宋_GB2312" w:cs="Times New Roman"/>
          <w:sz w:val="32"/>
          <w:szCs w:val="32"/>
          <w:lang w:eastAsia="zh-CN"/>
        </w:rPr>
        <w:t>2024年度攀枝花市山洪灾害专业化隐患排查项目、胜利水库灌区续建配套及现代化改造项目采购</w:t>
      </w:r>
      <w:r>
        <w:rPr>
          <w:rFonts w:hint="default" w:ascii="Times New Roman" w:hAnsi="Times New Roman" w:eastAsia="仿宋_GB2312" w:cs="Times New Roman"/>
          <w:color w:val="auto"/>
          <w:kern w:val="2"/>
          <w:sz w:val="32"/>
          <w:szCs w:val="32"/>
          <w:highlight w:val="none"/>
          <w:lang w:val="en-US" w:eastAsia="zh-CN" w:bidi="ar-SA"/>
        </w:rPr>
        <w:t>。授予中小企业合同金额</w:t>
      </w:r>
      <w:r>
        <w:rPr>
          <w:rFonts w:hint="default" w:ascii="Times New Roman" w:hAnsi="Times New Roman" w:eastAsia="仿宋_GB2312" w:cs="Times New Roman"/>
          <w:sz w:val="32"/>
          <w:szCs w:val="32"/>
        </w:rPr>
        <w:t>86.66</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36.82</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6.47</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2.74</w:t>
      </w:r>
      <w:r>
        <w:rPr>
          <w:rFonts w:hint="default" w:ascii="Times New Roman" w:hAnsi="Times New Roman" w:eastAsia="仿宋_GB2312" w:cs="Times New Roman"/>
          <w:color w:val="auto"/>
          <w:kern w:val="2"/>
          <w:sz w:val="32"/>
          <w:szCs w:val="32"/>
          <w:highlight w:val="none"/>
          <w:lang w:val="en-US" w:eastAsia="zh-CN" w:bidi="ar-SA"/>
        </w:rPr>
        <w:t>%。</w:t>
      </w:r>
    </w:p>
    <w:p>
      <w:pPr>
        <w:pageBreakBefore w:val="0"/>
        <w:widowControl w:val="0"/>
        <w:kinsoku/>
        <w:wordWrap/>
        <w:overflowPunct/>
        <w:topLinePunct w:val="0"/>
        <w:autoSpaceDE/>
        <w:autoSpaceDN/>
        <w:bidi w:val="0"/>
        <w:spacing w:line="600" w:lineRule="exact"/>
        <w:ind w:firstLine="321" w:firstLineChars="100"/>
        <w:jc w:val="both"/>
        <w:textAlignment w:val="auto"/>
        <w:outlineLvl w:val="2"/>
        <w:rPr>
          <w:rFonts w:hint="default" w:ascii="Times New Roman" w:hAnsi="Times New Roman" w:eastAsia="楷体_GB2312" w:cs="Times New Roman"/>
          <w:b/>
          <w:color w:val="auto"/>
          <w:sz w:val="32"/>
          <w:szCs w:val="32"/>
          <w:highlight w:val="none"/>
        </w:rPr>
      </w:pPr>
      <w:bookmarkStart w:id="66" w:name="_Toc15377224"/>
      <w:r>
        <w:rPr>
          <w:rFonts w:hint="default" w:ascii="Times New Roman" w:hAnsi="Times New Roman" w:eastAsia="楷体_GB2312" w:cs="Times New Roman"/>
          <w:b/>
          <w:color w:val="auto"/>
          <w:sz w:val="32"/>
          <w:szCs w:val="32"/>
          <w:highlight w:val="none"/>
        </w:rPr>
        <w:t>（三）国有资产占有使用情况</w:t>
      </w:r>
      <w:bookmarkEnd w:id="66"/>
    </w:p>
    <w:p>
      <w:pPr>
        <w:pageBreakBefore w:val="0"/>
        <w:widowControl w:val="0"/>
        <w:kinsoku/>
        <w:wordWrap/>
        <w:overflowPunct/>
        <w:topLinePunct w:val="0"/>
        <w:autoSpaceDE/>
        <w:autoSpaceDN/>
        <w:bidi w:val="0"/>
        <w:spacing w:line="600" w:lineRule="exact"/>
        <w:ind w:firstLine="64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四川省攀枝花市水利局（本级）</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auto"/>
          <w:kern w:val="2"/>
          <w:sz w:val="32"/>
          <w:szCs w:val="32"/>
          <w:highlight w:val="none"/>
          <w:lang w:val="en-US" w:eastAsia="zh-CN" w:bidi="ar-SA"/>
        </w:rPr>
        <w:t>辆，其中：</w:t>
      </w:r>
      <w:r>
        <w:rPr>
          <w:rFonts w:hint="default" w:ascii="Times New Roman" w:hAnsi="Times New Roman" w:eastAsia="仿宋_GB2312" w:cs="Times New Roman"/>
          <w:sz w:val="32"/>
          <w:szCs w:val="32"/>
          <w:lang w:val="en-US" w:eastAsia="zh-CN"/>
        </w:rPr>
        <w:t>主要领导干部用车0辆、机要通信用车0辆、应急保障用车1辆、其他用车3辆，其他用车主要是用于防汛抗旱、农田水利建设、水土保持、河道管理及水利工程调研、检查等各项工作。单价100万元以上设备（不含车辆）0台（套）。</w:t>
      </w:r>
    </w:p>
    <w:p>
      <w:pPr>
        <w:pageBreakBefore w:val="0"/>
        <w:widowControl w:val="0"/>
        <w:kinsoku/>
        <w:wordWrap/>
        <w:overflowPunct/>
        <w:topLinePunct w:val="0"/>
        <w:autoSpaceDE/>
        <w:autoSpaceDN/>
        <w:bidi w:val="0"/>
        <w:spacing w:line="600" w:lineRule="exact"/>
        <w:ind w:firstLine="321" w:firstLineChars="100"/>
        <w:jc w:val="both"/>
        <w:textAlignment w:val="auto"/>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根据预算绩效管理要求，本单位在2024年度预算编制阶段，组织对胜利水库灌区续建配套及现代化改造项目、2022年中央和省级水利发展资金、</w:t>
      </w:r>
      <w:r>
        <w:rPr>
          <w:rFonts w:hint="default" w:ascii="Times New Roman" w:hAnsi="Times New Roman" w:eastAsia="仿宋_GB2312" w:cs="Times New Roman"/>
          <w:sz w:val="32"/>
          <w:szCs w:val="32"/>
          <w:lang w:eastAsia="zh-CN"/>
        </w:rPr>
        <w:t>最严格水资源管理制度考核、防汛抗旱省级目标考核经费</w:t>
      </w:r>
      <w:r>
        <w:rPr>
          <w:rFonts w:hint="eastAsia" w:eastAsia="仿宋_GB2312" w:cs="Times New Roman"/>
          <w:sz w:val="32"/>
          <w:szCs w:val="32"/>
          <w:lang w:eastAsia="zh-CN"/>
        </w:rPr>
        <w:t>、河湖长制省级目标考核项目经费、水利质量监督考核经费、水土保持目标责任制考核等</w:t>
      </w:r>
      <w:r>
        <w:rPr>
          <w:rFonts w:hint="eastAsia" w:eastAsia="仿宋_GB2312" w:cs="Times New Roman"/>
          <w:sz w:val="32"/>
          <w:szCs w:val="32"/>
          <w:lang w:val="en-US" w:eastAsia="zh-CN"/>
        </w:rPr>
        <w:t>20</w:t>
      </w:r>
      <w:r>
        <w:rPr>
          <w:rFonts w:hint="default" w:ascii="Times New Roman" w:hAnsi="Times New Roman" w:eastAsia="仿宋_GB2312" w:cs="Times New Roman"/>
          <w:color w:val="auto"/>
          <w:kern w:val="2"/>
          <w:sz w:val="32"/>
          <w:szCs w:val="32"/>
          <w:highlight w:val="none"/>
          <w:lang w:val="en-US" w:eastAsia="zh-CN" w:bidi="ar-SA"/>
        </w:rPr>
        <w:t>个项目开展了预算事前绩效评估，对20个项目编制了绩效目标，预算执行过程中，选取20个项目开展绩效监控。</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 </w:t>
      </w:r>
    </w:p>
    <w:p>
      <w:pPr>
        <w:pageBreakBefore w:val="0"/>
        <w:widowControl w:val="0"/>
        <w:kinsoku/>
        <w:wordWrap/>
        <w:overflowPunct/>
        <w:topLinePunct w:val="0"/>
        <w:autoSpaceDE/>
        <w:autoSpaceDN/>
        <w:bidi w:val="0"/>
        <w:spacing w:line="600" w:lineRule="exact"/>
        <w:jc w:val="center"/>
        <w:textAlignment w:val="auto"/>
        <w:outlineLvl w:val="0"/>
        <w:rPr>
          <w:rFonts w:hint="default" w:ascii="Times New Roman" w:hAnsi="Times New Roman" w:eastAsia="黑体" w:cs="Times New Roman"/>
          <w:color w:val="auto"/>
          <w:sz w:val="44"/>
          <w:szCs w:val="44"/>
          <w:highlight w:val="none"/>
        </w:rPr>
      </w:pPr>
      <w:bookmarkStart w:id="67" w:name="_Toc15377225"/>
      <w:bookmarkStart w:id="68" w:name="_Toc15396613"/>
      <w:bookmarkStart w:id="69" w:name="_Toc589032896_WPSOffice_Level1"/>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67"/>
      <w:bookmarkEnd w:id="68"/>
      <w:bookmarkEnd w:id="69"/>
    </w:p>
    <w:p>
      <w:pPr>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color w:val="auto"/>
          <w:sz w:val="44"/>
          <w:szCs w:val="44"/>
          <w:highlight w:val="none"/>
        </w:rPr>
      </w:pP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1.财政拨款收入：指单位从同级财政部门取得的财政预算资金。</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政府性基金预算拨款收入：指市级财政当年拨付的政府性基金收入</w:t>
      </w:r>
      <w:r>
        <w:rPr>
          <w:rFonts w:hint="default" w:ascii="Times New Roman" w:hAnsi="Times New Roman" w:eastAsia="仿宋_GB2312" w:cs="Times New Roman"/>
          <w:sz w:val="32"/>
          <w:szCs w:val="32"/>
          <w:lang w:val="en-US" w:eastAsia="zh-CN"/>
        </w:rPr>
        <w:t>。</w:t>
      </w:r>
    </w:p>
    <w:p>
      <w:pPr>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3.一般公共服务（类）组织事务支出（款）其他组织事务支出（项）：指</w:t>
      </w:r>
      <w:r>
        <w:rPr>
          <w:rFonts w:hint="default" w:ascii="Times New Roman" w:hAnsi="Times New Roman" w:eastAsia="仿宋_GB2312" w:cs="Times New Roman"/>
          <w:color w:val="auto"/>
          <w:sz w:val="32"/>
          <w:szCs w:val="32"/>
          <w:highlight w:val="none"/>
          <w:lang w:val="en-US" w:eastAsia="zh-CN"/>
        </w:rPr>
        <w:t>其他用于中国共产党组织部门的事务支出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lang w:val="en-US" w:eastAsia="zh-CN"/>
        </w:rPr>
        <w:t>社会保障和就业支出（类）行政事业单位养老支出（款）行政单位离退休（项）：指用于行政单位（包括实行公务员管理的事业单位）开支的离退休经费。</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lang w:val="en-US" w:eastAsia="zh-CN"/>
        </w:rPr>
        <w:t>社会保障和就业支出（类）行政事业单位养老支出（款）事业单位离退休（项）：指事业单位开支的离退休经费。</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6.社会保障和就业支出（类）行政事业单位养老支出（款）机关事业单位基本养老保险缴费支出（项）：指机关事业单位实施养老保险制度由单位缴纳的基本养老保险费支出。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7.社会保障和就业支出（类）行政事业单位养老支出（款）机关事业单位职业年金缴费支出（项）：指机关事业单位实施养老保险制度由单位实际缴纳的职业年金支出。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8.社会保障和就业支出（类）抚恤（款）死亡抚恤（项）：指按规定用于烈士和牺牲、病故人员家属的一次性和定期抚恤金、丧葬补助费以及烈士褒扬金。</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9.社会保障和就业支出（类）社会福利（款）儿童福利（项）：指对儿童提供福利服务方面的支出。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卫生健康支出（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11.卫生健康支出（类）行政事业单位医疗（款）事业单位医疗（项）：指财政部门安排的事业单位基本医疗保险缴费经费，未参加医疗保险的事业单位的公费医疗经费，按国家规定享受离休人员待遇的医疗经费。</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卫生健康支出（类）行政事业单位医疗（款）公务员医疗补助（项）：</w:t>
      </w:r>
      <w:r>
        <w:rPr>
          <w:rFonts w:hint="default" w:ascii="Times New Roman" w:hAnsi="Times New Roman" w:eastAsia="仿宋_GB2312" w:cs="Times New Roman"/>
          <w:color w:val="auto"/>
          <w:kern w:val="2"/>
          <w:sz w:val="32"/>
          <w:szCs w:val="32"/>
          <w:highlight w:val="none"/>
          <w:lang w:val="en-US" w:eastAsia="zh-CN" w:bidi="ar-SA"/>
        </w:rPr>
        <w:t>指财政部门安排的公务员医疗补助经费。</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eastAsia="zh-CN"/>
        </w:rPr>
        <w:t>卫生健康支出（类）其他卫生健康支出（款）其他卫生健康支出（项）：</w:t>
      </w:r>
      <w:r>
        <w:rPr>
          <w:rFonts w:hint="default" w:ascii="Times New Roman" w:hAnsi="Times New Roman" w:eastAsia="仿宋_GB2312" w:cs="Times New Roman"/>
          <w:color w:val="auto"/>
          <w:kern w:val="2"/>
          <w:sz w:val="32"/>
          <w:szCs w:val="32"/>
          <w:highlight w:val="none"/>
          <w:lang w:val="en-US" w:eastAsia="zh-CN" w:bidi="ar-SA"/>
        </w:rPr>
        <w:t>指其他用于卫生健康方面的支出。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城乡社区支出（类）国有土地使用权出让收入安排的支出（款）农业生产发展支出（项）：指土地出让收入用于高标准农田建设、农田水利建设、农村土地综合整治、耕地及永久基本农田保护支出、现代种业提升等方面的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15．城乡社区支出（类）国有土地使用权出让收入安排的支出（款）农业农村生态环境支出（项）：指土地出让收入用于农村人居环境整治、与农业农村直接相关的山水林田湖草生态保护修复等方面的支出。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16．农林水支出（类）水利（款）行政运行（项）：指行政单位（包括实行公务员管理的事业单位）的基本支出。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17．农林水支出（类）水利（款）水利前期工作（项）：指水利规划、勘测、设计、科研及相关管理办法编制、资料整编、设备购置等基础性前期工作的支出。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18．农林水支出（类）水利（款）水资源节约管理与保护（项）：指水资源节约、监管、配置、调度、保护和基础管理工作的支出。</w:t>
      </w:r>
    </w:p>
    <w:p>
      <w:pPr>
        <w:pStyle w:val="2"/>
        <w:pageBreakBefore w:val="0"/>
        <w:widowControl w:val="0"/>
        <w:kinsoku/>
        <w:wordWrap/>
        <w:overflowPunct/>
        <w:topLinePunct w:val="0"/>
        <w:autoSpaceDE/>
        <w:autoSpaceDN/>
        <w:bidi w:val="0"/>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．农林水支出（类）水利（款）</w:t>
      </w:r>
      <w:r>
        <w:rPr>
          <w:rFonts w:hint="default" w:ascii="Times New Roman" w:hAnsi="Times New Roman" w:cs="Times New Roman"/>
          <w:sz w:val="32"/>
          <w:szCs w:val="32"/>
          <w:lang w:val="en-US" w:eastAsia="zh-CN"/>
        </w:rPr>
        <w:t>其他水利支出</w:t>
      </w:r>
      <w:r>
        <w:rPr>
          <w:rFonts w:hint="default" w:ascii="Times New Roman" w:hAnsi="Times New Roman" w:eastAsia="仿宋_GB2312" w:cs="Times New Roman"/>
          <w:sz w:val="32"/>
          <w:szCs w:val="32"/>
          <w:lang w:val="en-US" w:eastAsia="zh-CN"/>
        </w:rPr>
        <w:t>（项）：指</w:t>
      </w:r>
      <w:r>
        <w:rPr>
          <w:rFonts w:hint="default" w:ascii="Times New Roman" w:hAnsi="Times New Roman" w:cs="Times New Roman"/>
          <w:sz w:val="32"/>
          <w:szCs w:val="32"/>
          <w:lang w:val="en-US" w:eastAsia="zh-CN"/>
        </w:rPr>
        <w:t>其他用于水利方面的支出。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20．住房保障支出（类）住房改革支出（款）住房公积金（项）：指行政事业单位按人事、财政部门规定的基本工资和津贴补贴以及规定比例为职工缴纳的住房公积金。</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21.基本支出：指为保障机构正常运转、完成日常工作任务而发生的人员支出和公用支出。</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22项目支出：指在基本支出之外为完成特定行政任务和事业发展目标所发生的支出。 </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23.“三公”经费：指部门用财政拨款安排的因公出国（境）费、公务用车购置及运行费和公务接待费。其中，因公出国（境）费反映单位公务出国（境）的国际旅费、国外城市间交通费、住宿费、伙食费、培训费、公杂费等支出；公务用车运行维护费反映单位按规定保留的公务用车燃料费、维修费、过桥过路费、保险费、安全奖励费用等支出；公务接待费反映单位按规定开支的各类公务接待（含外宾接待）费用。</w:t>
      </w:r>
    </w:p>
    <w:p>
      <w:pPr>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黑体" w:cs="Times New Roman"/>
          <w:color w:val="auto"/>
          <w:sz w:val="44"/>
          <w:szCs w:val="44"/>
          <w:highlight w:val="none"/>
        </w:rPr>
      </w:pPr>
      <w:bookmarkStart w:id="70" w:name="_Toc15396614"/>
      <w:bookmarkStart w:id="71" w:name="_Toc15377226"/>
    </w:p>
    <w:p>
      <w:pPr>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黑体" w:cs="Times New Roman"/>
          <w:color w:val="auto"/>
          <w:sz w:val="44"/>
          <w:szCs w:val="44"/>
          <w:highlight w:val="none"/>
        </w:rPr>
      </w:pPr>
    </w:p>
    <w:p>
      <w:pPr>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黑体" w:cs="Times New Roman"/>
          <w:color w:val="auto"/>
          <w:sz w:val="44"/>
          <w:szCs w:val="44"/>
          <w:highlight w:val="none"/>
        </w:rPr>
      </w:pPr>
    </w:p>
    <w:p>
      <w:pPr>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黑体" w:cs="Times New Roman"/>
          <w:color w:val="auto"/>
          <w:sz w:val="44"/>
          <w:szCs w:val="44"/>
          <w:highlight w:val="none"/>
        </w:rPr>
      </w:pPr>
    </w:p>
    <w:p>
      <w:pPr>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黑体" w:cs="Times New Roman"/>
          <w:color w:val="auto"/>
          <w:sz w:val="44"/>
          <w:szCs w:val="44"/>
          <w:highlight w:val="none"/>
        </w:rPr>
      </w:pPr>
    </w:p>
    <w:p>
      <w:pPr>
        <w:pStyle w:val="2"/>
        <w:pageBreakBefore w:val="0"/>
        <w:widowControl w:val="0"/>
        <w:kinsoku/>
        <w:wordWrap/>
        <w:overflowPunct/>
        <w:topLinePunct w:val="0"/>
        <w:autoSpaceDE/>
        <w:autoSpaceDN/>
        <w:bidi w:val="0"/>
        <w:jc w:val="both"/>
        <w:textAlignment w:val="auto"/>
        <w:rPr>
          <w:rFonts w:hint="default" w:ascii="Times New Roman" w:hAnsi="Times New Roman" w:eastAsia="黑体" w:cs="Times New Roman"/>
          <w:color w:val="auto"/>
          <w:sz w:val="44"/>
          <w:szCs w:val="44"/>
          <w:highlight w:val="none"/>
        </w:rPr>
      </w:pPr>
    </w:p>
    <w:bookmarkEnd w:id="70"/>
    <w:p>
      <w:pPr>
        <w:pageBreakBefore w:val="0"/>
        <w:widowControl w:val="0"/>
        <w:kinsoku/>
        <w:wordWrap/>
        <w:overflowPunct/>
        <w:topLinePunct w:val="0"/>
        <w:autoSpaceDE/>
        <w:autoSpaceDN/>
        <w:bidi w:val="0"/>
        <w:spacing w:line="600" w:lineRule="exact"/>
        <w:jc w:val="both"/>
        <w:textAlignment w:val="auto"/>
        <w:outlineLvl w:val="1"/>
        <w:rPr>
          <w:rFonts w:hint="default" w:ascii="Times New Roman" w:hAnsi="Times New Roman" w:eastAsia="黑体" w:cs="Times New Roman"/>
          <w:sz w:val="44"/>
          <w:szCs w:val="44"/>
        </w:rPr>
      </w:pPr>
      <w:bookmarkStart w:id="72" w:name="_Toc393514214_WPSOffice_Level1"/>
      <w:bookmarkStart w:id="73" w:name="_Toc15396618"/>
    </w:p>
    <w:p>
      <w:pPr>
        <w:pageBreakBefore w:val="0"/>
        <w:widowControl w:val="0"/>
        <w:numPr>
          <w:ilvl w:val="0"/>
          <w:numId w:val="0"/>
        </w:numPr>
        <w:kinsoku/>
        <w:wordWrap/>
        <w:overflowPunct/>
        <w:topLinePunct w:val="0"/>
        <w:autoSpaceDE/>
        <w:autoSpaceDN/>
        <w:bidi w:val="0"/>
        <w:spacing w:line="600" w:lineRule="exact"/>
        <w:ind w:firstLine="2200" w:firstLineChars="500"/>
        <w:jc w:val="both"/>
        <w:textAlignment w:val="auto"/>
        <w:outlineLvl w:val="1"/>
        <w:rPr>
          <w:rStyle w:val="20"/>
          <w:rFonts w:hint="default" w:ascii="Times New Roman" w:hAnsi="Times New Roman" w:eastAsia="黑体" w:cs="Times New Roman"/>
          <w:b w:val="0"/>
        </w:rPr>
      </w:pPr>
      <w:r>
        <w:rPr>
          <w:rStyle w:val="20"/>
          <w:rFonts w:hint="eastAsia" w:eastAsia="黑体" w:cs="Times New Roman"/>
          <w:b w:val="0"/>
          <w:lang w:val="en-US"/>
        </w:rPr>
        <w:t xml:space="preserve">第四部分  </w:t>
      </w:r>
      <w:r>
        <w:rPr>
          <w:rStyle w:val="20"/>
          <w:rFonts w:hint="default" w:ascii="Times New Roman" w:hAnsi="Times New Roman" w:eastAsia="黑体" w:cs="Times New Roman"/>
          <w:b w:val="0"/>
        </w:rPr>
        <w:t>附件</w:t>
      </w:r>
      <w:bookmarkEnd w:id="72"/>
    </w:p>
    <w:p>
      <w:pPr>
        <w:pStyle w:val="2"/>
        <w:numPr>
          <w:ilvl w:val="0"/>
          <w:numId w:val="0"/>
        </w:numPr>
        <w:jc w:val="center"/>
        <w:rPr>
          <w:rFonts w:hint="default"/>
        </w:rPr>
      </w:pPr>
    </w:p>
    <w:p>
      <w:pPr>
        <w:pageBreakBefore w:val="0"/>
        <w:widowControl w:val="0"/>
        <w:kinsoku/>
        <w:wordWrap/>
        <w:overflowPunct/>
        <w:topLinePunct w:val="0"/>
        <w:autoSpaceDE/>
        <w:autoSpaceDN/>
        <w:bidi w:val="0"/>
        <w:spacing w:line="600" w:lineRule="exact"/>
        <w:jc w:val="center"/>
        <w:textAlignment w:val="auto"/>
        <w:outlineLvl w:val="1"/>
        <w:rPr>
          <w:rFonts w:hint="default" w:ascii="Times New Roman" w:hAnsi="Times New Roman" w:eastAsia="宋体" w:cs="Times New Roman"/>
          <w:color w:val="FF0000"/>
          <w:sz w:val="44"/>
          <w:szCs w:val="44"/>
          <w:lang w:val="en-US" w:eastAsia="zh-CN"/>
        </w:rPr>
      </w:pPr>
      <w:bookmarkStart w:id="74" w:name="_Toc948421571_WPSOffice_Level2"/>
      <w:r>
        <w:rPr>
          <w:rFonts w:hint="default" w:ascii="Times New Roman" w:hAnsi="Times New Roman" w:cs="Times New Roman"/>
          <w:sz w:val="32"/>
          <w:szCs w:val="32"/>
        </w:rPr>
        <w:t>部门预算项目支出绩效自评表（202</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年度）</w:t>
      </w:r>
      <w:bookmarkEnd w:id="74"/>
      <w:r>
        <w:rPr>
          <w:rFonts w:hint="eastAsia" w:cs="Times New Roman"/>
          <w:sz w:val="32"/>
          <w:szCs w:val="32"/>
          <w:lang w:eastAsia="zh-CN"/>
        </w:rPr>
        <w:t>见附件</w:t>
      </w:r>
      <w:r>
        <w:rPr>
          <w:rFonts w:hint="eastAsia" w:cs="Times New Roman"/>
          <w:sz w:val="32"/>
          <w:szCs w:val="32"/>
          <w:lang w:val="en-US" w:eastAsia="zh-CN"/>
        </w:rPr>
        <w:t>3</w:t>
      </w:r>
    </w:p>
    <w:p>
      <w:pPr>
        <w:pStyle w:val="14"/>
        <w:pageBreakBefore w:val="0"/>
        <w:widowControl w:val="0"/>
        <w:kinsoku/>
        <w:wordWrap/>
        <w:overflowPunct/>
        <w:topLinePunct w:val="0"/>
        <w:autoSpaceDE/>
        <w:autoSpaceDN/>
        <w:bidi w:val="0"/>
        <w:spacing w:line="560" w:lineRule="exact"/>
        <w:ind w:left="0" w:leftChars="0"/>
        <w:jc w:val="both"/>
        <w:textAlignment w:val="auto"/>
        <w:outlineLvl w:val="1"/>
        <w:rPr>
          <w:rFonts w:hint="default" w:ascii="Times New Roman" w:hAnsi="Times New Roman" w:cs="Times New Roman"/>
          <w:sz w:val="32"/>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p>
    <w:p>
      <w:pPr>
        <w:pageBreakBefore w:val="0"/>
        <w:widowControl/>
        <w:kinsoku/>
        <w:wordWrap/>
        <w:overflowPunct/>
        <w:topLinePunct w:val="0"/>
        <w:autoSpaceDE/>
        <w:autoSpaceDN/>
        <w:bidi w:val="0"/>
        <w:ind w:firstLine="2560" w:firstLineChars="800"/>
        <w:jc w:val="both"/>
        <w:textAlignment w:val="auto"/>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kern w:val="0"/>
          <w:sz w:val="32"/>
          <w:szCs w:val="32"/>
          <w:highlight w:val="none"/>
          <w:shd w:val="clear" w:color="auto" w:fill="FFFFFF"/>
          <w:lang w:val="en-US" w:eastAsia="zh-CN"/>
        </w:rPr>
        <w:t xml:space="preserve"> </w:t>
      </w:r>
      <w:bookmarkStart w:id="75" w:name="_Toc164695193_WPSOffice_Level1"/>
      <w:r>
        <w:rPr>
          <w:rFonts w:hint="default" w:ascii="Times New Roman" w:hAnsi="Times New Roman" w:eastAsia="黑体" w:cs="Times New Roman"/>
          <w:color w:val="auto"/>
          <w:sz w:val="44"/>
          <w:szCs w:val="44"/>
          <w:highlight w:val="none"/>
        </w:rPr>
        <w:t>第</w:t>
      </w:r>
      <w:r>
        <w:rPr>
          <w:rStyle w:val="20"/>
          <w:rFonts w:hint="default" w:ascii="Times New Roman" w:hAnsi="Times New Roman" w:eastAsia="黑体" w:cs="Times New Roman"/>
          <w:b w:val="0"/>
          <w:color w:val="auto"/>
          <w:highlight w:val="none"/>
        </w:rPr>
        <w:t>五部分 附表</w:t>
      </w:r>
      <w:bookmarkEnd w:id="71"/>
      <w:bookmarkEnd w:id="73"/>
      <w:bookmarkEnd w:id="75"/>
      <w:bookmarkStart w:id="76" w:name="_Toc15396619"/>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77" w:name="_Toc578556115_WPSOffice_Level2"/>
      <w:r>
        <w:rPr>
          <w:rFonts w:hint="default" w:ascii="Times New Roman" w:hAnsi="Times New Roman" w:eastAsia="仿宋_GB2312" w:cs="Times New Roman"/>
          <w:color w:val="auto"/>
          <w:sz w:val="32"/>
          <w:szCs w:val="32"/>
          <w:highlight w:val="none"/>
        </w:rPr>
        <w:t>一、收入支出决算总表</w:t>
      </w:r>
      <w:bookmarkEnd w:id="76"/>
      <w:bookmarkEnd w:id="77"/>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78" w:name="_Toc15396620"/>
      <w:bookmarkStart w:id="79" w:name="_Toc156460116_WPSOffice_Level2"/>
      <w:r>
        <w:rPr>
          <w:rFonts w:hint="default" w:ascii="Times New Roman" w:hAnsi="Times New Roman" w:eastAsia="仿宋_GB2312" w:cs="Times New Roman"/>
          <w:color w:val="auto"/>
          <w:sz w:val="32"/>
          <w:szCs w:val="32"/>
          <w:highlight w:val="none"/>
        </w:rPr>
        <w:t>二、收入决算表</w:t>
      </w:r>
      <w:bookmarkEnd w:id="78"/>
      <w:bookmarkEnd w:id="79"/>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80" w:name="_Toc15396621"/>
      <w:bookmarkStart w:id="81" w:name="_Toc2143986275_WPSOffice_Level2"/>
      <w:r>
        <w:rPr>
          <w:rFonts w:hint="default" w:ascii="Times New Roman" w:hAnsi="Times New Roman" w:eastAsia="仿宋_GB2312" w:cs="Times New Roman"/>
          <w:color w:val="auto"/>
          <w:sz w:val="32"/>
          <w:szCs w:val="32"/>
          <w:highlight w:val="none"/>
        </w:rPr>
        <w:t>三、支出决算表</w:t>
      </w:r>
      <w:bookmarkEnd w:id="80"/>
      <w:bookmarkEnd w:id="81"/>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82" w:name="_Toc15396622"/>
      <w:bookmarkStart w:id="83" w:name="_Toc10711307_WPSOffice_Level2"/>
      <w:r>
        <w:rPr>
          <w:rFonts w:hint="default" w:ascii="Times New Roman" w:hAnsi="Times New Roman" w:eastAsia="仿宋_GB2312" w:cs="Times New Roman"/>
          <w:color w:val="auto"/>
          <w:sz w:val="32"/>
          <w:szCs w:val="32"/>
          <w:highlight w:val="none"/>
        </w:rPr>
        <w:t>四、财政拨款收入支出决算总表</w:t>
      </w:r>
      <w:bookmarkEnd w:id="82"/>
      <w:bookmarkEnd w:id="83"/>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84" w:name="_Toc15396623"/>
      <w:bookmarkStart w:id="85" w:name="_Toc2068557945_WPSOffice_Level2"/>
      <w:r>
        <w:rPr>
          <w:rFonts w:hint="default" w:ascii="Times New Roman" w:hAnsi="Times New Roman" w:eastAsia="仿宋_GB2312" w:cs="Times New Roman"/>
          <w:color w:val="auto"/>
          <w:sz w:val="32"/>
          <w:szCs w:val="32"/>
          <w:highlight w:val="none"/>
        </w:rPr>
        <w:t>五、财政拨款支出决算明细表</w:t>
      </w:r>
      <w:bookmarkEnd w:id="84"/>
      <w:bookmarkEnd w:id="85"/>
      <w:bookmarkStart w:id="86" w:name="_Toc15396624"/>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87" w:name="_Toc840741862_WPSOffice_Level2"/>
      <w:r>
        <w:rPr>
          <w:rFonts w:hint="default" w:ascii="Times New Roman" w:hAnsi="Times New Roman" w:eastAsia="仿宋_GB2312" w:cs="Times New Roman"/>
          <w:color w:val="auto"/>
          <w:sz w:val="32"/>
          <w:szCs w:val="32"/>
          <w:highlight w:val="none"/>
        </w:rPr>
        <w:t>六、一般公共预算财政拨款支出决算表</w:t>
      </w:r>
      <w:bookmarkEnd w:id="86"/>
      <w:bookmarkEnd w:id="87"/>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88" w:name="_Toc18848724_WPSOffice_Level2"/>
      <w:bookmarkStart w:id="89" w:name="_Toc15396625"/>
      <w:r>
        <w:rPr>
          <w:rFonts w:hint="default" w:ascii="Times New Roman" w:hAnsi="Times New Roman" w:eastAsia="仿宋_GB2312" w:cs="Times New Roman"/>
          <w:color w:val="auto"/>
          <w:sz w:val="32"/>
          <w:szCs w:val="32"/>
          <w:highlight w:val="none"/>
        </w:rPr>
        <w:t>七、一般公共预算财政拨款支出决算明细表</w:t>
      </w:r>
      <w:bookmarkEnd w:id="88"/>
      <w:bookmarkEnd w:id="89"/>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90" w:name="_Toc15396626"/>
      <w:bookmarkStart w:id="91" w:name="_Toc887285252_WPSOffice_Level2"/>
      <w:r>
        <w:rPr>
          <w:rFonts w:hint="default" w:ascii="Times New Roman" w:hAnsi="Times New Roman" w:eastAsia="仿宋_GB2312" w:cs="Times New Roman"/>
          <w:color w:val="auto"/>
          <w:sz w:val="32"/>
          <w:szCs w:val="32"/>
          <w:highlight w:val="none"/>
        </w:rPr>
        <w:t>八、一般公共预算财政拨款基本支出决算表</w:t>
      </w:r>
      <w:bookmarkEnd w:id="90"/>
      <w:bookmarkEnd w:id="91"/>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92" w:name="_Toc15396627"/>
      <w:bookmarkStart w:id="93" w:name="_Toc709481675_WPSOffice_Level2"/>
      <w:r>
        <w:rPr>
          <w:rFonts w:hint="default" w:ascii="Times New Roman" w:hAnsi="Times New Roman" w:eastAsia="仿宋_GB2312" w:cs="Times New Roman"/>
          <w:color w:val="auto"/>
          <w:sz w:val="32"/>
          <w:szCs w:val="32"/>
          <w:highlight w:val="none"/>
        </w:rPr>
        <w:t>九、一般公共预算财政拨款项目支出决算表</w:t>
      </w:r>
      <w:bookmarkEnd w:id="92"/>
      <w:bookmarkEnd w:id="93"/>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94" w:name="_Toc15396628"/>
      <w:bookmarkStart w:id="95" w:name="_Toc849077627_WPSOffice_Level2"/>
      <w:r>
        <w:rPr>
          <w:rFonts w:hint="default" w:ascii="Times New Roman" w:hAnsi="Times New Roman" w:eastAsia="仿宋_GB2312" w:cs="Times New Roman"/>
          <w:color w:val="auto"/>
          <w:sz w:val="32"/>
          <w:szCs w:val="32"/>
          <w:highlight w:val="none"/>
        </w:rPr>
        <w:t>十、</w:t>
      </w:r>
      <w:bookmarkEnd w:id="94"/>
      <w:r>
        <w:rPr>
          <w:rFonts w:hint="default" w:ascii="Times New Roman" w:hAnsi="Times New Roman" w:eastAsia="仿宋_GB2312" w:cs="Times New Roman"/>
          <w:color w:val="auto"/>
          <w:sz w:val="32"/>
          <w:szCs w:val="32"/>
          <w:highlight w:val="none"/>
        </w:rPr>
        <w:t>政府性基金预算财政拨款收入支出决算表</w:t>
      </w:r>
      <w:bookmarkEnd w:id="95"/>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96" w:name="_Toc15396629"/>
      <w:bookmarkStart w:id="97" w:name="_Toc92204416_WPSOffice_Level2"/>
      <w:r>
        <w:rPr>
          <w:rFonts w:hint="default" w:ascii="Times New Roman" w:hAnsi="Times New Roman" w:eastAsia="仿宋_GB2312" w:cs="Times New Roman"/>
          <w:color w:val="auto"/>
          <w:sz w:val="32"/>
          <w:szCs w:val="32"/>
          <w:highlight w:val="none"/>
        </w:rPr>
        <w:t>十一、</w:t>
      </w:r>
      <w:bookmarkEnd w:id="96"/>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bookmarkEnd w:id="97"/>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rPr>
      </w:pPr>
      <w:bookmarkStart w:id="98" w:name="_Toc15396630"/>
      <w:bookmarkStart w:id="99" w:name="_Toc2061919945_WPSOffice_Level2"/>
      <w:r>
        <w:rPr>
          <w:rFonts w:hint="default" w:ascii="Times New Roman" w:hAnsi="Times New Roman" w:eastAsia="仿宋_GB2312" w:cs="Times New Roman"/>
          <w:color w:val="auto"/>
          <w:sz w:val="32"/>
          <w:szCs w:val="32"/>
          <w:highlight w:val="none"/>
        </w:rPr>
        <w:t>十二、</w:t>
      </w:r>
      <w:bookmarkEnd w:id="98"/>
      <w:r>
        <w:rPr>
          <w:rFonts w:hint="default" w:ascii="Times New Roman" w:hAnsi="Times New Roman" w:eastAsia="仿宋_GB2312" w:cs="Times New Roman"/>
          <w:color w:val="auto"/>
          <w:sz w:val="32"/>
          <w:szCs w:val="32"/>
          <w:highlight w:val="none"/>
          <w:lang w:eastAsia="zh-CN"/>
        </w:rPr>
        <w:t>国有资本经营预算财政拨款支出决算表</w:t>
      </w:r>
      <w:bookmarkEnd w:id="99"/>
    </w:p>
    <w:p>
      <w:pPr>
        <w:pStyle w:val="15"/>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highlight w:val="none"/>
          <w:lang w:eastAsia="zh-CN"/>
        </w:rPr>
      </w:pPr>
      <w:bookmarkStart w:id="100" w:name="_Toc15396631"/>
      <w:bookmarkStart w:id="101" w:name="_Toc2112215658_WPSOffice_Level2"/>
      <w:r>
        <w:rPr>
          <w:rFonts w:hint="default" w:ascii="Times New Roman" w:hAnsi="Times New Roman" w:eastAsia="仿宋_GB2312" w:cs="Times New Roman"/>
          <w:color w:val="auto"/>
          <w:sz w:val="32"/>
          <w:szCs w:val="32"/>
          <w:highlight w:val="none"/>
        </w:rPr>
        <w:t>十三、</w:t>
      </w:r>
      <w:bookmarkEnd w:id="100"/>
      <w:r>
        <w:rPr>
          <w:rFonts w:hint="default" w:ascii="Times New Roman" w:hAnsi="Times New Roman" w:eastAsia="仿宋_GB2312" w:cs="Times New Roman"/>
          <w:color w:val="auto"/>
          <w:sz w:val="32"/>
          <w:szCs w:val="32"/>
          <w:highlight w:val="none"/>
          <w:lang w:eastAsia="zh-CN"/>
        </w:rPr>
        <w:t>财政拨款“三公”经费支出决算表</w:t>
      </w:r>
      <w:bookmarkEnd w:id="101"/>
    </w:p>
    <w:p>
      <w:pPr>
        <w:pageBreakBefore w:val="0"/>
        <w:widowControl w:val="0"/>
        <w:kinsoku/>
        <w:wordWrap/>
        <w:overflowPunct/>
        <w:topLinePunct w:val="0"/>
        <w:autoSpaceDE/>
        <w:autoSpaceDN/>
        <w:bidi w:val="0"/>
        <w:jc w:val="both"/>
        <w:textAlignment w:val="auto"/>
        <w:rPr>
          <w:rFonts w:hint="default" w:ascii="Times New Roman" w:hAnsi="Times New Roman" w:cs="Times New Roman"/>
          <w:lang w:eastAsia="zh-CN"/>
        </w:rPr>
      </w:pPr>
    </w:p>
    <w:sectPr>
      <w:footerReference r:id="rId7" w:type="default"/>
      <w:pgSz w:w="11906" w:h="16838"/>
      <w:pgMar w:top="1440" w:right="1706"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1"/>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27965" cy="133350"/>
              <wp:effectExtent l="0" t="0" r="0" b="0"/>
              <wp:wrapNone/>
              <wp:docPr id="1" name="文本框 16"/>
              <wp:cNvGraphicFramePr/>
              <a:graphic xmlns:a="http://schemas.openxmlformats.org/drawingml/2006/main">
                <a:graphicData uri="http://schemas.microsoft.com/office/word/2010/wordprocessingShape">
                  <wps:wsp>
                    <wps:cNvSpPr/>
                    <wps:spPr>
                      <a:xfrm>
                        <a:off x="0" y="0"/>
                        <a:ext cx="227914" cy="133159"/>
                      </a:xfrm>
                      <a:prstGeom prst="rect">
                        <a:avLst/>
                      </a:prstGeom>
                      <a:noFill/>
                      <a:ln w="6350" cap="flat" cmpd="sng">
                        <a:noFill/>
                        <a:prstDash val="solid"/>
                        <a:round/>
                      </a:ln>
                    </wps:spPr>
                    <wps:txbx>
                      <w:txbxContent>
                        <w:p>
                          <w:pPr>
                            <w:pStyle w:val="10"/>
                          </w:pPr>
                          <w:r>
                            <w:fldChar w:fldCharType="begin"/>
                          </w:r>
                          <w:r>
                            <w:instrText xml:space="preserve"> PAGE  \* MERGEFORMAT </w:instrText>
                          </w:r>
                          <w:r>
                            <w:fldChar w:fldCharType="separate"/>
                          </w:r>
                          <w:r>
                            <w:t>- 2 -</w:t>
                          </w:r>
                          <w:r>
                            <w:fldChar w:fldCharType="end"/>
                          </w:r>
                        </w:p>
                      </w:txbxContent>
                    </wps:txbx>
                    <wps:bodyPr vert="horz" wrap="none" lIns="0" tIns="0" rIns="0" bIns="0" anchor="t" anchorCtr="false" upright="false">
                      <a:spAutoFit/>
                    </wps:bodyPr>
                  </wps:wsp>
                </a:graphicData>
              </a:graphic>
            </wp:anchor>
          </w:drawing>
        </mc:Choice>
        <mc:Fallback>
          <w:pict>
            <v:rect id="文本框 16" o:spid="_x0000_s1026" o:spt="1" style="position:absolute;left:0pt;margin-top:0pt;height:10.5pt;width:17.95pt;mso-position-horizontal:center;mso-position-horizontal-relative:margin;mso-wrap-style:none;z-index:251659264;mso-width-relative:page;mso-height-relative:page;" filled="f" stroked="f" coordsize="21600,21600" o:gfxdata="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Ya7CG1wAAAAMBAAAPAAAAAAAAAAEAIAAAADgAAABkcnMv&#10;ZG93bnJldi54bWxQSwECFAAUAAAACACHTuJAV4CjW+4BAACvAwAADgAAAAAAAAABACAAAAA8AQAA&#10;ZHJzL2Uyb0RvYy54bWxQSwUGAAAAAAYABgBZAQAAnAUAAAAA&#10;">
              <v:fill on="f" focussize="0,0"/>
              <v:stroke on="f" weight="0.5pt" joinstyle="round"/>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rect>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A91C7"/>
    <w:multiLevelType w:val="singleLevel"/>
    <w:tmpl w:val="DF3A91C7"/>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2AF6466"/>
    <w:rsid w:val="12FF2D3F"/>
    <w:rsid w:val="2FF7A97A"/>
    <w:rsid w:val="3FB6B06D"/>
    <w:rsid w:val="526D25B5"/>
    <w:rsid w:val="5B7F0FA4"/>
    <w:rsid w:val="6FFF2788"/>
    <w:rsid w:val="7FA733A3"/>
    <w:rsid w:val="B56F31A4"/>
    <w:rsid w:val="E5DF24AC"/>
    <w:rsid w:val="F9F49ED1"/>
    <w:rsid w:val="FDEB9A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6">
    <w:name w:val="Salutation"/>
    <w:basedOn w:val="1"/>
    <w:next w:val="1"/>
    <w:qFormat/>
    <w:uiPriority w:val="0"/>
    <w:rPr>
      <w:rFonts w:ascii="Times New Roman" w:hAnsi="Times New Roman" w:eastAsia="宋体" w:cs="Times New Roman"/>
      <w:lang w:bidi="ar-SA"/>
    </w:rPr>
  </w:style>
  <w:style w:type="paragraph" w:styleId="7">
    <w:name w:val="Body Text Indent"/>
    <w:basedOn w:val="1"/>
    <w:qFormat/>
    <w:uiPriority w:val="0"/>
    <w:pPr>
      <w:spacing w:after="120"/>
      <w:ind w:left="200" w:leftChars="200"/>
    </w:pPr>
    <w:rPr>
      <w:rFonts w:ascii="仿宋_GB2312" w:hAnsi="仿宋_GB2312"/>
      <w:szCs w:val="32"/>
    </w:rPr>
  </w:style>
  <w:style w:type="paragraph" w:styleId="8">
    <w:name w:val="toc 3"/>
    <w:basedOn w:val="1"/>
    <w:next w:val="1"/>
    <w:qFormat/>
    <w:uiPriority w:val="0"/>
    <w:pPr>
      <w:tabs>
        <w:tab w:val="right" w:leader="dot" w:pos="8296"/>
      </w:tabs>
      <w:ind w:left="400" w:leftChars="4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pPr>
      <w:tabs>
        <w:tab w:val="right" w:leader="dot" w:pos="8296"/>
      </w:tabs>
      <w:spacing w:before="93"/>
      <w:jc w:val="center"/>
    </w:pPr>
    <w:rPr>
      <w:rFonts w:ascii="仿宋" w:eastAsia="仿宋"/>
      <w:sz w:val="28"/>
      <w:szCs w:val="28"/>
    </w:rPr>
  </w:style>
  <w:style w:type="paragraph" w:styleId="13">
    <w:name w:val="footnote text"/>
    <w:basedOn w:val="1"/>
    <w:next w:val="14"/>
    <w:qFormat/>
    <w:uiPriority w:val="0"/>
    <w:pPr>
      <w:snapToGrid w:val="0"/>
      <w:jc w:val="left"/>
    </w:pPr>
    <w:rPr>
      <w:sz w:val="18"/>
      <w:szCs w:val="18"/>
    </w:rPr>
  </w:style>
  <w:style w:type="paragraph" w:styleId="14">
    <w:name w:val="Body Text First Indent 2"/>
    <w:basedOn w:val="7"/>
    <w:qFormat/>
    <w:uiPriority w:val="0"/>
    <w:pPr>
      <w:ind w:firstLine="200" w:firstLineChars="200"/>
    </w:pPr>
  </w:style>
  <w:style w:type="paragraph" w:styleId="15">
    <w:name w:val="toc 2"/>
    <w:basedOn w:val="1"/>
    <w:next w:val="1"/>
    <w:qFormat/>
    <w:uiPriority w:val="0"/>
    <w:pPr>
      <w:tabs>
        <w:tab w:val="right" w:leader="dot" w:pos="8296"/>
      </w:tabs>
      <w:ind w:left="200" w:leftChars="200"/>
    </w:p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character" w:customStyle="1" w:styleId="20">
    <w:name w:val="heading 1 Char"/>
    <w:basedOn w:val="17"/>
    <w:link w:val="3"/>
    <w:qFormat/>
    <w:uiPriority w:val="0"/>
    <w:rPr>
      <w:rFonts w:ascii="Times New Roman" w:hAnsi="Times New Roman" w:eastAsia="宋体" w:cs="Times New Roman"/>
      <w:b/>
      <w:bCs/>
      <w:kern w:val="44"/>
      <w:sz w:val="44"/>
      <w:szCs w:val="44"/>
      <w:lang w:val="en-US" w:eastAsia="zh-CN" w:bidi="ar-SA"/>
    </w:rPr>
  </w:style>
  <w:style w:type="character" w:customStyle="1" w:styleId="21">
    <w:name w:val="heading 2 Char"/>
    <w:basedOn w:val="17"/>
    <w:link w:val="4"/>
    <w:qFormat/>
    <w:uiPriority w:val="0"/>
    <w:rPr>
      <w:rFonts w:ascii="Cambria" w:hAnsi="Cambria" w:eastAsia="宋体" w:cs="Times New Roman"/>
      <w:b/>
      <w:bCs/>
      <w:kern w:val="2"/>
      <w:sz w:val="32"/>
      <w:szCs w:val="32"/>
      <w:lang w:val="en-US" w:eastAsia="zh-CN" w:bidi="ar-SA"/>
    </w:rPr>
  </w:style>
  <w:style w:type="paragraph" w:customStyle="1" w:styleId="22">
    <w:name w:val="标题 5（有编号）（绿盟科技）"/>
    <w:next w:val="1"/>
    <w:qFormat/>
    <w:uiPriority w:val="0"/>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7"/>
    <w:qFormat/>
    <w:uiPriority w:val="0"/>
    <w:rPr>
      <w:rFonts w:ascii="Times New Roman" w:hAnsi="Times New Roman"/>
      <w:sz w:val="18"/>
      <w:szCs w:val="18"/>
    </w:rPr>
  </w:style>
  <w:style w:type="character" w:customStyle="1" w:styleId="24">
    <w:name w:val="Footer Char"/>
    <w:basedOn w:val="17"/>
    <w:qFormat/>
    <w:uiPriority w:val="0"/>
    <w:rPr>
      <w:rFonts w:ascii="Times New Roman" w:hAnsi="Times New Roman"/>
      <w:sz w:val="18"/>
      <w:szCs w:val="18"/>
    </w:rPr>
  </w:style>
  <w:style w:type="character" w:customStyle="1" w:styleId="25">
    <w:name w:val="Body Text Char"/>
    <w:basedOn w:val="17"/>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7">
    <w:name w:val="List Paragraph"/>
    <w:basedOn w:val="1"/>
    <w:qFormat/>
    <w:uiPriority w:val="0"/>
    <w:pPr>
      <w:ind w:firstLine="200" w:firstLineChars="200"/>
    </w:pPr>
  </w:style>
  <w:style w:type="paragraph" w:customStyle="1" w:styleId="28">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9">
    <w:name w:val="TOC Heading"/>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30">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1">
    <w:name w:val="WPSOffice手动目录 1"/>
    <w:qFormat/>
    <w:uiPriority w:val="0"/>
    <w:rPr>
      <w:rFonts w:ascii="Calibri" w:hAnsi="Calibri" w:eastAsia="宋体" w:cs="Arial"/>
      <w:sz w:val="20"/>
      <w:szCs w:val="20"/>
      <w:lang w:val="en-US" w:eastAsia="zh-CN" w:bidi="ar-SA"/>
    </w:rPr>
  </w:style>
  <w:style w:type="paragraph" w:customStyle="1" w:styleId="32">
    <w:name w:val="WPSOffice手动目录 2"/>
    <w:qFormat/>
    <w:uiPriority w:val="0"/>
    <w:pPr>
      <w:ind w:left="200" w:leftChars="200"/>
    </w:pPr>
    <w:rPr>
      <w:rFonts w:ascii="Calibri" w:hAnsi="Calibri" w:eastAsia="宋体" w:cs="Arial"/>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media/user/&#25968;&#25454;&#30424;/2025&#24180;&#24037;&#20316;/2024&#24180;&#37096;&#38376;&#20915;&#31639;&#20844;&#24320;/&#20915;&#31639;&#22270;&#34920;&#27169;&#2649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edia/user/&#25968;&#25454;&#30424;/2025&#24180;&#24037;&#20316;/2024&#24180;&#37096;&#38376;&#20915;&#31639;&#20844;&#24320;/2024&#24180;&#20915;&#31639;&#20844;&#24320;&#30011;&#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edia/user/&#25968;&#25454;&#30424;/2025&#24180;&#24037;&#20316;/2024&#24180;&#37096;&#38376;&#20915;&#31639;&#20844;&#24320;/2024&#24180;&#20915;&#31639;&#20844;&#24320;&#30011;&#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edia/user/&#25968;&#25454;&#30424;/2025&#24180;&#24037;&#20316;/2024&#24180;&#37096;&#38376;&#20915;&#31639;&#20844;&#24320;/&#20915;&#31639;&#22270;&#34920;&#27169;&#2649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edia/user/&#25968;&#25454;&#30424;/2025&#24180;&#24037;&#20316;/2024&#24180;&#37096;&#38376;&#20915;&#31639;&#20844;&#24320;/&#20915;&#31639;&#22270;&#34920;&#27169;&#2649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edia/user/&#25968;&#25454;&#30424;/2025&#24180;&#24037;&#20316;/2024&#24180;&#37096;&#38376;&#20915;&#31639;&#20844;&#24320;/2024&#24180;&#20915;&#31639;&#20844;&#24320;&#30011;&#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edia/user/&#25968;&#25454;&#30424;/2025&#24180;&#24037;&#20316;/2024&#24180;&#37096;&#38376;&#20915;&#31639;&#20844;&#24320;/&#20915;&#31639;&#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240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2024</a:t>
            </a:r>
            <a:r>
              <a:rPr altLang="en-US" sz="2400" b="1" i="0" u="none" strike="noStrike" baseline="0">
                <a:solidFill>
                  <a:srgbClr val="333333"/>
                </a:solidFill>
                <a:latin typeface="宋体" charset="-122"/>
                <a:ea typeface="宋体" charset="-122"/>
                <a:cs typeface="宋体" charset="-122"/>
              </a:rPr>
              <a:t>年度</a:t>
            </a:r>
            <a:r>
              <a:rPr sz="2400" b="1" i="0" u="none" strike="noStrike" baseline="0">
                <a:solidFill>
                  <a:srgbClr val="333333"/>
                </a:solidFill>
                <a:latin typeface="宋体" charset="-122"/>
                <a:ea typeface="宋体" charset="-122"/>
                <a:cs typeface="宋体" charset="-122"/>
              </a:rPr>
              <a:t>收支总计</a:t>
            </a:r>
            <a:endParaRPr sz="1200" b="0" i="0" u="none" strike="noStrike" baseline="0">
              <a:solidFill>
                <a:srgbClr val="000000"/>
              </a:solidFill>
              <a:latin typeface="宋体"/>
              <a:ea typeface="宋体"/>
              <a:cs typeface="宋体"/>
            </a:endParaRPr>
          </a:p>
        </c:rich>
      </c:tx>
      <c:layout>
        <c:manualLayout>
          <c:xMode val="edge"/>
          <c:yMode val="edge"/>
          <c:x val="0.24375"/>
          <c:y val="0.0104166666666667"/>
        </c:manualLayout>
      </c:layout>
      <c:overlay val="false"/>
      <c:spPr>
        <a:noFill/>
        <a:ln>
          <a:noFill/>
        </a:ln>
        <a:effectLst/>
      </c:spPr>
    </c:title>
    <c:autoTitleDeleted val="false"/>
    <c:plotArea>
      <c:layout/>
      <c:barChart>
        <c:barDir val="col"/>
        <c:grouping val="clustered"/>
        <c:varyColors val="false"/>
        <c:ser>
          <c:idx val="0"/>
          <c:order val="0"/>
          <c:tx>
            <c:strRef>
              <c:f>'[决算图表模板.xls]2022年收支总计'!$B$1</c:f>
              <c:strCache>
                <c:ptCount val="1"/>
                <c:pt idx="0">
                  <c:v>收支</c:v>
                </c:pt>
              </c:strCache>
            </c:strRef>
          </c:tx>
          <c:spPr>
            <a:solidFill>
              <a:schemeClr val="accent1"/>
            </a:solidFill>
            <a:ln>
              <a:noFill/>
            </a:ln>
            <a:effectLst/>
          </c:spPr>
          <c:invertIfNegative val="false"/>
          <c:dPt>
            <c:idx val="0"/>
            <c:invertIfNegative val="false"/>
            <c:bubble3D val="false"/>
            <c:explosion val="0"/>
            <c:spPr>
              <a:solidFill>
                <a:schemeClr val="accent1"/>
              </a:solidFill>
              <a:ln>
                <a:noFill/>
              </a:ln>
              <a:effectLst/>
            </c:spPr>
          </c:dPt>
          <c:dPt>
            <c:idx val="1"/>
            <c:invertIfNegative val="false"/>
            <c:bubble3D val="false"/>
            <c:explosion val="0"/>
            <c:spPr>
              <a:solidFill>
                <a:srgbClr val="F739DA"/>
              </a:solidFill>
              <a:ln>
                <a:no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2435.54万元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2001.28万元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'[决算图表模板.xls]2022年收支总计'!$A$2:$A$3</c:f>
              <c:strCache>
                <c:ptCount val="2"/>
                <c:pt idx="0">
                  <c:v>2023年度</c:v>
                </c:pt>
                <c:pt idx="1">
                  <c:v>2024年度</c:v>
                </c:pt>
              </c:strCache>
            </c:strRef>
          </c:cat>
          <c:val>
            <c:numRef>
              <c:f>'[决算图表模板.xls]2022年收支总计'!$B$2:$B$3</c:f>
              <c:numCache>
                <c:formatCode>0.00_ </c:formatCode>
                <c:ptCount val="2"/>
                <c:pt idx="0">
                  <c:v>2435.54</c:v>
                </c:pt>
                <c:pt idx="1">
                  <c:v>2001.28</c:v>
                </c:pt>
              </c:numCache>
            </c:numRef>
          </c:val>
        </c:ser>
        <c:dLbls>
          <c:showLegendKey val="false"/>
          <c:showVal val="false"/>
          <c:showCatName val="false"/>
          <c:showSerName val="false"/>
          <c:showPercent val="false"/>
          <c:showBubbleSize val="false"/>
        </c:dLbls>
        <c:gapWidth val="219"/>
        <c:overlap val="0"/>
        <c:axId val="845045427"/>
        <c:axId val="633329084"/>
      </c:barChart>
      <c:catAx>
        <c:axId val="845045427"/>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3329084"/>
        <c:crosses val="autoZero"/>
        <c:auto val="true"/>
        <c:lblAlgn val="ctr"/>
        <c:lblOffset val="100"/>
        <c:noMultiLvlLbl val="false"/>
      </c:catAx>
      <c:valAx>
        <c:axId val="63332908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_ "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4504542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[2024年决算公开画图.xlsx]Sheet2!$B$1</c:f>
              <c:strCache>
                <c:ptCount val="1"/>
                <c:pt idx="0">
                  <c:v>金额（万元）</c:v>
                </c:pt>
              </c:strCache>
            </c:strRef>
          </c:tx>
          <c:explosion val="0"/>
          <c:dPt>
            <c:idx val="0"/>
            <c:bubble3D val="false"/>
          </c:dPt>
          <c:dPt>
            <c:idx val="1"/>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1728.94</a:t>
                    </a:r>
                    <a:r>
                      <a:rPr altLang="en-US"/>
                      <a:t>万元</a:t>
                    </a:r>
                    <a:endParaRPr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272.34</a:t>
                    </a:r>
                    <a:r>
                      <a:rPr altLang="en-US"/>
                      <a:t>万元</a:t>
                    </a:r>
                    <a:endParaRPr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[2024年决算公开画图.xlsx]Sheet2!$A$2:$A$3</c:f>
              <c:strCache>
                <c:ptCount val="2"/>
                <c:pt idx="0">
                  <c:v>一般公共预算财政拨款收入</c:v>
                </c:pt>
                <c:pt idx="1">
                  <c:v>政府性基金预算财政拨款收入</c:v>
                </c:pt>
              </c:strCache>
            </c:strRef>
          </c:cat>
          <c:val>
            <c:numRef>
              <c:f>[2024年决算公开画图.xlsx]Sheet2!$B$2:$B$3</c:f>
              <c:numCache>
                <c:formatCode>General</c:formatCode>
                <c:ptCount val="2"/>
                <c:pt idx="0">
                  <c:v>1728.94</c:v>
                </c:pt>
                <c:pt idx="1">
                  <c:v>272.34</c:v>
                </c:pt>
              </c:numCache>
            </c:numRef>
          </c:val>
        </c:ser>
        <c:ser>
          <c:idx val="1"/>
          <c:order val="1"/>
          <c:tx>
            <c:strRef>
              <c:f>[2024年决算公开画图.xlsx]Sheet2!$C$1</c:f>
              <c:strCache>
                <c:ptCount val="1"/>
                <c:pt idx="0">
                  <c:v>占比</c:v>
                </c:pt>
              </c:strCache>
            </c:strRef>
          </c:tx>
          <c:explosion val="0"/>
          <c:dPt>
            <c:idx val="0"/>
            <c:bubble3D val="false"/>
          </c:dPt>
          <c:dPt>
            <c:idx val="1"/>
            <c:bubble3D val="false"/>
          </c:dPt>
          <c:dLbls>
            <c:delete val="true"/>
          </c:dLbls>
          <c:cat>
            <c:strRef>
              <c:f>[2024年决算公开画图.xlsx]Sheet2!$A$2:$A$3</c:f>
              <c:strCache>
                <c:ptCount val="2"/>
                <c:pt idx="0">
                  <c:v>一般公共预算财政拨款收入</c:v>
                </c:pt>
                <c:pt idx="1">
                  <c:v>政府性基金预算财政拨款收入</c:v>
                </c:pt>
              </c:strCache>
            </c:strRef>
          </c:cat>
          <c:val>
            <c:numRef>
              <c:f>[2024年决算公开画图.xlsx]Sheet2!$C$2:$C$3</c:f>
              <c:numCache>
                <c:formatCode>0.00%</c:formatCode>
                <c:ptCount val="2"/>
                <c:pt idx="0">
                  <c:v>0.8639</c:v>
                </c:pt>
                <c:pt idx="1">
                  <c:v>0.1361</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1523.96</a:t>
                    </a:r>
                    <a:r>
                      <a:rPr altLang="en-US"/>
                      <a:t>万元</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477.32</a:t>
                    </a:r>
                    <a:r>
                      <a:rPr altLang="en-US"/>
                      <a:t>万元</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[2024年决算公开画图.xlsx]Sheet3!$A$3:$A$4</c:f>
              <c:strCache>
                <c:ptCount val="2"/>
                <c:pt idx="0">
                  <c:v>基本支出</c:v>
                </c:pt>
                <c:pt idx="1">
                  <c:v>项目支出</c:v>
                </c:pt>
              </c:strCache>
            </c:strRef>
          </c:cat>
          <c:val>
            <c:numRef>
              <c:f>[2024年决算公开画图.xlsx]Sheet3!$B$3:$B$4</c:f>
              <c:numCache>
                <c:formatCode>0.00%</c:formatCode>
                <c:ptCount val="2"/>
                <c:pt idx="0">
                  <c:v>0.7614</c:v>
                </c:pt>
                <c:pt idx="1">
                  <c:v>0.2385</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2024年度财政拨款收、支决算总计变动图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barChart>
        <c:barDir val="col"/>
        <c:grouping val="clustered"/>
        <c:varyColors val="false"/>
        <c:ser>
          <c:idx val="0"/>
          <c:order val="0"/>
          <c:tx>
            <c:strRef>
              <c:f>[决算图表模板.xls]收支总计!$B$2</c:f>
              <c:strCache>
                <c:ptCount val="1"/>
                <c:pt idx="0">
                  <c:v>2024年度财政拨款收、支决算总计</c:v>
                </c:pt>
              </c:strCache>
            </c:strRef>
          </c:tx>
          <c:spPr>
            <a:solidFill>
              <a:schemeClr val="accent1"/>
            </a:solidFill>
            <a:ln>
              <a:noFill/>
            </a:ln>
            <a:effectLst/>
          </c:spPr>
          <c:invertIfNegative val="false"/>
          <c:dPt>
            <c:idx val="1"/>
            <c:invertIfNegative val="false"/>
            <c:bubble3D val="false"/>
            <c:explosion val="0"/>
            <c:spPr>
              <a:solidFill>
                <a:srgbClr val="F739DA"/>
              </a:solidFill>
              <a:ln>
                <a:no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2435.54万元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2001.28万元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[决算图表模板.xls]收支总计!$A$3:$A$4</c:f>
              <c:strCache>
                <c:ptCount val="2"/>
                <c:pt idx="0">
                  <c:v>2023年度</c:v>
                </c:pt>
                <c:pt idx="1">
                  <c:v>2024年度</c:v>
                </c:pt>
              </c:strCache>
            </c:strRef>
          </c:cat>
          <c:val>
            <c:numRef>
              <c:f>[决算图表模板.xls]收支总计!$B$3:$B$4</c:f>
              <c:numCache>
                <c:formatCode>General</c:formatCode>
                <c:ptCount val="2"/>
                <c:pt idx="0">
                  <c:v>2435.54</c:v>
                </c:pt>
                <c:pt idx="1">
                  <c:v>2001.28</c:v>
                </c:pt>
              </c:numCache>
            </c:numRef>
          </c:val>
        </c:ser>
        <c:dLbls>
          <c:showLegendKey val="false"/>
          <c:showVal val="false"/>
          <c:showCatName val="false"/>
          <c:showSerName val="false"/>
          <c:showPercent val="false"/>
          <c:showBubbleSize val="false"/>
        </c:dLbls>
        <c:gapWidth val="219"/>
        <c:overlap val="-27"/>
        <c:axId val="576545153"/>
        <c:axId val="526651952"/>
      </c:barChart>
      <c:catAx>
        <c:axId val="576545153"/>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6651952"/>
        <c:crosses val="autoZero"/>
        <c:auto val="true"/>
        <c:lblAlgn val="ctr"/>
        <c:lblOffset val="100"/>
        <c:noMultiLvlLbl val="false"/>
      </c:catAx>
      <c:valAx>
        <c:axId val="52665195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76545153"/>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一般公共预算财政拨款支出变动图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manualLayout>
          <c:layoutTarget val="inner"/>
          <c:xMode val="edge"/>
          <c:yMode val="edge"/>
          <c:x val="0.0727222222222222"/>
          <c:y val="0.173611111111111"/>
          <c:w val="0.894638888888889"/>
          <c:h val="0.710972222222222"/>
        </c:manualLayout>
      </c:layout>
      <c:barChart>
        <c:barDir val="col"/>
        <c:grouping val="clustered"/>
        <c:varyColors val="false"/>
        <c:ser>
          <c:idx val="0"/>
          <c:order val="0"/>
          <c:tx>
            <c:strRef>
              <c:f>[决算图表模板.xls]一般公共预算财政拨款支出总体!$B$2</c:f>
              <c:strCache>
                <c:ptCount val="1"/>
                <c:pt idx="0">
                  <c:v>2023年度一般公共预算财政拨款支出</c:v>
                </c:pt>
              </c:strCache>
            </c:strRef>
          </c:tx>
          <c:spPr>
            <a:solidFill>
              <a:schemeClr val="accent1"/>
            </a:solidFill>
            <a:ln>
              <a:noFill/>
            </a:ln>
            <a:effectLst/>
          </c:spPr>
          <c:invertIfNegative val="false"/>
          <c:dPt>
            <c:idx val="1"/>
            <c:invertIfNegative val="false"/>
            <c:bubble3D val="false"/>
            <c:explosion val="0"/>
            <c:spPr>
              <a:solidFill>
                <a:srgbClr val="F739DA"/>
              </a:solidFill>
              <a:ln>
                <a:no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2049.96万元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1728.94万元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[决算图表模板.xls]一般公共预算财政拨款支出总体!$A$3:$A$4</c:f>
              <c:strCache>
                <c:ptCount val="2"/>
                <c:pt idx="0">
                  <c:v>2023年</c:v>
                </c:pt>
                <c:pt idx="1">
                  <c:v>2024年</c:v>
                </c:pt>
              </c:strCache>
            </c:strRef>
          </c:cat>
          <c:val>
            <c:numRef>
              <c:f>[决算图表模板.xls]一般公共预算财政拨款支出总体!$B$3:$B$4</c:f>
              <c:numCache>
                <c:formatCode>General</c:formatCode>
                <c:ptCount val="2"/>
                <c:pt idx="0">
                  <c:v>2049.96</c:v>
                </c:pt>
                <c:pt idx="1">
                  <c:v>1728.94</c:v>
                </c:pt>
              </c:numCache>
            </c:numRef>
          </c:val>
        </c:ser>
        <c:dLbls>
          <c:showLegendKey val="false"/>
          <c:showVal val="false"/>
          <c:showCatName val="false"/>
          <c:showSerName val="false"/>
          <c:showPercent val="false"/>
          <c:showBubbleSize val="false"/>
        </c:dLbls>
        <c:gapWidth val="219"/>
        <c:overlap val="-27"/>
        <c:axId val="927757313"/>
        <c:axId val="789160789"/>
      </c:barChart>
      <c:catAx>
        <c:axId val="927757313"/>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9160789"/>
        <c:crosses val="autoZero"/>
        <c:auto val="true"/>
        <c:lblAlgn val="ctr"/>
        <c:lblOffset val="100"/>
        <c:noMultiLvlLbl val="false"/>
      </c:catAx>
      <c:valAx>
        <c:axId val="789160789"/>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27757313"/>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Pt>
            <c:idx val="2"/>
            <c:bubble3D val="false"/>
          </c:dPt>
          <c:dPt>
            <c:idx val="3"/>
            <c:bubble3D val="false"/>
          </c:dPt>
          <c:dPt>
            <c:idx val="4"/>
            <c:bubble3D val="false"/>
          </c:dPt>
          <c:dLbls>
            <c:dLbl>
              <c:idx val="0"/>
              <c:layout>
                <c:manualLayout>
                  <c:x val="0.0434658789208251"/>
                  <c:y val="-0.00507800307321454"/>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6.63</a:t>
                    </a:r>
                    <a:r>
                      <a:rPr altLang="en-US"/>
                      <a:t>万元</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62415687090294"/>
                  <c:y val="-0.120656502837838"/>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1192.05</a:t>
                    </a:r>
                    <a:r>
                      <a:rPr altLang="en-US"/>
                      <a:t>万元</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366.34</a:t>
                    </a:r>
                    <a:r>
                      <a:rPr altLang="en-US"/>
                      <a:t>万元</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3"/>
              <c:layout>
                <c:manualLayout>
                  <c:x val="-0.0233632899988032"/>
                  <c:y val="0.0119864621632391"/>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69.04</a:t>
                    </a:r>
                    <a:r>
                      <a:rPr altLang="en-US"/>
                      <a:t>万元</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57759787022892"/>
                  <c:y val="0.0157149880446411"/>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94.88</a:t>
                    </a:r>
                    <a:r>
                      <a:rPr altLang="en-US"/>
                      <a:t>万元</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[2024年决算公开画图.xlsx]Sheet6!$A$6:$A$10</c:f>
              <c:strCache>
                <c:ptCount val="5"/>
                <c:pt idx="0">
                  <c:v>一般公共服务支出</c:v>
                </c:pt>
                <c:pt idx="1">
                  <c:v>农林水支出</c:v>
                </c:pt>
                <c:pt idx="2">
                  <c:v>社会保障和就业支出</c:v>
                </c:pt>
                <c:pt idx="3">
                  <c:v>卫生健康支出</c:v>
                </c:pt>
                <c:pt idx="4">
                  <c:v>住房保障支出</c:v>
                </c:pt>
              </c:strCache>
            </c:strRef>
          </c:cat>
          <c:val>
            <c:numRef>
              <c:f>[2024年决算公开画图.xlsx]Sheet6!$B$6:$B$10</c:f>
              <c:numCache>
                <c:formatCode>0.00%</c:formatCode>
                <c:ptCount val="5"/>
                <c:pt idx="0">
                  <c:v>0.00383471953913959</c:v>
                </c:pt>
                <c:pt idx="1">
                  <c:v>0.6894686917996</c:v>
                </c:pt>
                <c:pt idx="2">
                  <c:v>0.211887052182262</c:v>
                </c:pt>
                <c:pt idx="3">
                  <c:v>0.0399319814452786</c:v>
                </c:pt>
                <c:pt idx="4">
                  <c:v>0.0548775550337201</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2024</a:t>
            </a:r>
            <a:r>
              <a:rPr altLang="en-US" sz="1400" b="0" i="0" u="none" strike="noStrike" baseline="0">
                <a:solidFill>
                  <a:srgbClr val="333333"/>
                </a:solidFill>
                <a:latin typeface="宋体" charset="-122"/>
                <a:ea typeface="宋体" charset="-122"/>
                <a:cs typeface="宋体" charset="-122"/>
              </a:rPr>
              <a:t>年度</a:t>
            </a:r>
            <a:r>
              <a:rPr sz="1400" b="0" i="0" u="none" strike="noStrike" baseline="0">
                <a:solidFill>
                  <a:srgbClr val="333333"/>
                </a:solidFill>
                <a:latin typeface="宋体" charset="-122"/>
                <a:ea typeface="宋体" charset="-122"/>
                <a:cs typeface="宋体" charset="-122"/>
              </a:rPr>
              <a:t>“三公”经费财政拨款支出结构图</a:t>
            </a:r>
            <a:endParaRPr sz="1200" b="0" i="0" u="none" strike="noStrike" baseline="0">
              <a:solidFill>
                <a:srgbClr val="000000"/>
              </a:solidFill>
              <a:latin typeface="宋体"/>
              <a:ea typeface="宋体"/>
              <a:cs typeface="宋体"/>
            </a:endParaRPr>
          </a:p>
        </c:rich>
      </c:tx>
      <c:layout/>
      <c:overlay val="false"/>
      <c:spPr>
        <a:noFill/>
        <a:ln>
          <a:noFill/>
        </a:ln>
        <a:effectLst/>
      </c:spPr>
    </c:title>
    <c:autoTitleDeleted val="false"/>
    <c:plotArea>
      <c:layout/>
      <c:pieChart>
        <c:varyColors val="true"/>
        <c:ser>
          <c:idx val="0"/>
          <c:order val="0"/>
          <c:tx>
            <c:strRef>
              <c:f>[决算图表模板.xls]“三公”经费财政拨款支出结构!$B$1</c:f>
              <c:strCache>
                <c:ptCount val="1"/>
                <c:pt idx="0">
                  <c:v>“三公”经费财政拨款支出结构</c:v>
                </c:pt>
              </c:strCache>
            </c:strRef>
          </c:tx>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2.33万元</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12.21万元</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[决算图表模板.xls]“三公”经费财政拨款支出结构!$A$2:$A$3</c:f>
              <c:strCache>
                <c:ptCount val="2"/>
                <c:pt idx="0">
                  <c:v>公务接待费</c:v>
                </c:pt>
                <c:pt idx="1">
                  <c:v>公务车购置及运行维护费</c:v>
                </c:pt>
              </c:strCache>
            </c:strRef>
          </c:cat>
          <c:val>
            <c:numRef>
              <c:f>[决算图表模板.xls]“三公”经费财政拨款支出结构!$B$2:$B$3</c:f>
              <c:numCache>
                <c:formatCode>General</c:formatCode>
                <c:ptCount val="2"/>
                <c:pt idx="0">
                  <c:v>2.33</c:v>
                </c:pt>
                <c:pt idx="1">
                  <c:v>12.21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B0C53DD8AE848FCADCB9AC7FB06231B"/>
        <w:style w:val=""/>
        <w:category>
          <w:name w:val="常规"/>
          <w:gallery w:val="placeholder"/>
        </w:category>
        <w:types>
          <w:type w:val="bbPlcHdr"/>
        </w:types>
        <w:behaviors>
          <w:behavior w:val="content"/>
        </w:behaviors>
        <w:description w:val=""/>
        <w:guid w:val="{92EC4B06-AEC0-439D-B5DF-4FF73A1CF850}"/>
      </w:docPartPr>
      <w:docPartBody>
        <w:p>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Default Paragraph Font"/>
    <w:lsdException w:qFormat="1" w:unhideWhenUsed="0" w:uiPriority="0" w:semiHidden="0" w:name="Placeholder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qFormat/>
    <w:uiPriority w:val="0"/>
  </w:style>
  <w:style w:type="character" w:styleId="3">
    <w:name w:val="Placeholder Text"/>
    <w:basedOn w:val="2"/>
    <w:qFormat/>
    <w:uiPriority w:val="0"/>
    <w:rPr>
      <w:color w:val="808080"/>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24</Pages>
  <Words>31</Words>
  <Characters>37</Characters>
  <Lines>467</Lines>
  <Paragraphs>168</Paragraphs>
  <TotalTime>7</TotalTime>
  <ScaleCrop>false</ScaleCrop>
  <LinksUpToDate>false</LinksUpToDate>
  <CharactersWithSpaces>41</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2020-08-13T09:49:00Z</dcterms:created>
  <dc:creator>曹颖</dc:creator>
  <cp:lastModifiedBy>user</cp:lastModifiedBy>
  <cp:lastPrinted>2025-08-10T17:34:00Z</cp:lastPrinted>
  <dcterms:modified xsi:type="dcterms:W3CDTF">2025-09-15T16:46:01Z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eyJoZGlkIjoiNmNlYWM1NzNiNDZiMDQ4MjVkMzUxYWM0Y2FlMzc2Y2IifQ==</vt:lpwstr>
  </property>
</Properties>
</file>