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A8D69">
      <w:pPr>
        <w:overflowPunct w:val="0"/>
        <w:topLinePunct/>
        <w:spacing w:line="570" w:lineRule="exact"/>
        <w:jc w:val="center"/>
        <w:rPr>
          <w:rFonts w:ascii="Times New Roman" w:hAnsi="Times New Roman" w:eastAsia="方正小标宋简体" w:cs="Times New Roman"/>
          <w:sz w:val="44"/>
          <w:szCs w:val="44"/>
        </w:rPr>
      </w:pPr>
      <w:bookmarkStart w:id="0" w:name="_GoBack"/>
      <w:r>
        <w:rPr>
          <w:rFonts w:hint="eastAsia" w:ascii="Times New Roman" w:hAnsi="Times New Roman" w:eastAsia="方正小标宋简体" w:cs="Times New Roman"/>
          <w:sz w:val="44"/>
          <w:szCs w:val="44"/>
        </w:rPr>
        <w:t>第</w:t>
      </w:r>
      <w:r>
        <w:rPr>
          <w:rFonts w:hint="eastAsia" w:ascii="Times New Roman" w:hAnsi="Times New Roman" w:eastAsia="方正小标宋简体" w:cs="Times New Roman"/>
          <w:sz w:val="44"/>
          <w:szCs w:val="44"/>
          <w:lang w:val="en-US" w:eastAsia="zh-CN"/>
        </w:rPr>
        <w:t>三</w:t>
      </w:r>
      <w:r>
        <w:rPr>
          <w:rFonts w:hint="eastAsia" w:ascii="Times New Roman" w:hAnsi="Times New Roman" w:eastAsia="方正小标宋简体" w:cs="Times New Roman"/>
          <w:sz w:val="44"/>
          <w:szCs w:val="44"/>
        </w:rPr>
        <w:t>轮</w:t>
      </w:r>
      <w:r>
        <w:rPr>
          <w:rFonts w:hint="eastAsia" w:ascii="Times New Roman" w:hAnsi="Times New Roman" w:eastAsia="方正小标宋简体" w:cs="Times New Roman"/>
          <w:sz w:val="44"/>
          <w:szCs w:val="44"/>
          <w:lang w:val="en-US" w:eastAsia="zh-CN"/>
        </w:rPr>
        <w:t>省</w:t>
      </w:r>
      <w:r>
        <w:rPr>
          <w:rFonts w:hint="eastAsia" w:ascii="Times New Roman" w:hAnsi="Times New Roman" w:eastAsia="方正小标宋简体" w:cs="Times New Roman"/>
          <w:sz w:val="44"/>
          <w:szCs w:val="44"/>
        </w:rPr>
        <w:t>生态环境保护督察第</w:t>
      </w:r>
      <w:r>
        <w:rPr>
          <w:rFonts w:hint="eastAsia" w:ascii="Times New Roman" w:hAnsi="Times New Roman" w:eastAsia="方正小标宋简体" w:cs="Times New Roman"/>
          <w:sz w:val="44"/>
          <w:szCs w:val="44"/>
          <w:lang w:val="en-US" w:eastAsia="zh-CN"/>
        </w:rPr>
        <w:t>25</w:t>
      </w:r>
      <w:r>
        <w:rPr>
          <w:rFonts w:hint="eastAsia" w:ascii="Times New Roman" w:hAnsi="Times New Roman" w:eastAsia="方正小标宋简体" w:cs="Times New Roman"/>
          <w:sz w:val="44"/>
          <w:szCs w:val="44"/>
        </w:rPr>
        <w:t>项整改任务完成情况表</w:t>
      </w:r>
    </w:p>
    <w:bookmarkEnd w:id="0"/>
    <w:p w14:paraId="19BBFA27">
      <w:pPr>
        <w:keepNext w:val="0"/>
        <w:keepLines w:val="0"/>
        <w:pageBreakBefore w:val="0"/>
        <w:widowControl w:val="0"/>
        <w:kinsoku/>
        <w:wordWrap/>
        <w:overflowPunct w:val="0"/>
        <w:topLinePunct/>
        <w:autoSpaceDE/>
        <w:autoSpaceDN/>
        <w:bidi w:val="0"/>
        <w:adjustRightInd/>
        <w:snapToGrid/>
        <w:spacing w:line="600" w:lineRule="exact"/>
        <w:textAlignment w:val="auto"/>
        <w:rPr>
          <w:rFonts w:ascii="Times New Roman" w:hAnsi="Times New Roman" w:eastAsia="仿宋_GB2312" w:cs="Times New Roman"/>
          <w:sz w:val="28"/>
          <w:szCs w:val="28"/>
        </w:rPr>
      </w:pPr>
    </w:p>
    <w:tbl>
      <w:tblPr>
        <w:tblStyle w:val="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7" w:type="dxa"/>
          <w:bottom w:w="0" w:type="dxa"/>
          <w:right w:w="17" w:type="dxa"/>
        </w:tblCellMar>
      </w:tblPr>
      <w:tblGrid>
        <w:gridCol w:w="2472"/>
        <w:gridCol w:w="6362"/>
      </w:tblGrid>
      <w:tr w14:paraId="6F44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2635" w:hRule="atLeast"/>
          <w:jc w:val="center"/>
        </w:trPr>
        <w:tc>
          <w:tcPr>
            <w:tcW w:w="2472" w:type="dxa"/>
            <w:tcBorders>
              <w:top w:val="single" w:color="auto" w:sz="4" w:space="0"/>
              <w:left w:val="single" w:color="auto" w:sz="4" w:space="0"/>
              <w:bottom w:val="single" w:color="auto" w:sz="4" w:space="0"/>
              <w:right w:val="single" w:color="auto" w:sz="4" w:space="0"/>
            </w:tcBorders>
            <w:vAlign w:val="center"/>
          </w:tcPr>
          <w:p w14:paraId="3838BCA2">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rFonts w:hint="eastAsia" w:ascii="Times New Roman" w:hAnsi="Times New Roman" w:eastAsia="黑体" w:cs="Times New Roman"/>
                <w:bCs/>
                <w:kern w:val="0"/>
                <w:sz w:val="30"/>
                <w:szCs w:val="30"/>
                <w:lang w:eastAsia="zh-CN"/>
              </w:rPr>
            </w:pPr>
            <w:r>
              <w:rPr>
                <w:rFonts w:hint="eastAsia" w:ascii="Times New Roman" w:hAnsi="Times New Roman" w:eastAsia="黑体" w:cs="黑体"/>
                <w:bCs/>
                <w:kern w:val="0"/>
                <w:sz w:val="28"/>
                <w:szCs w:val="28"/>
              </w:rPr>
              <w:t>整改任务</w:t>
            </w:r>
          </w:p>
        </w:tc>
        <w:tc>
          <w:tcPr>
            <w:tcW w:w="6362" w:type="dxa"/>
            <w:tcBorders>
              <w:top w:val="single" w:color="auto" w:sz="4" w:space="0"/>
              <w:left w:val="nil"/>
              <w:bottom w:val="single" w:color="auto" w:sz="4" w:space="0"/>
              <w:right w:val="single" w:color="auto" w:sz="4" w:space="0"/>
            </w:tcBorders>
            <w:vAlign w:val="center"/>
          </w:tcPr>
          <w:p w14:paraId="319613AD">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ascii="Times New Roman" w:hAnsi="Times New Roman" w:eastAsia="楷体_GB2312" w:cs="Times New Roman"/>
                <w:kern w:val="0"/>
                <w:sz w:val="30"/>
                <w:szCs w:val="30"/>
              </w:rPr>
            </w:pPr>
            <w:r>
              <w:rPr>
                <w:rFonts w:hint="eastAsia" w:ascii="Times New Roman" w:hAnsi="Times New Roman" w:eastAsia="仿宋_GB2312" w:cs="Times New Roman"/>
                <w:sz w:val="28"/>
                <w:szCs w:val="28"/>
                <w:lang w:eastAsia="zh-CN"/>
              </w:rPr>
              <w:t>第三轮省生态环境保护督察</w:t>
            </w:r>
            <w:r>
              <w:rPr>
                <w:rFonts w:hint="eastAsia" w:ascii="Times New Roman" w:eastAsia="仿宋_GB2312" w:cs="Times New Roman"/>
                <w:color w:val="auto"/>
                <w:sz w:val="28"/>
                <w:szCs w:val="28"/>
                <w:lang w:eastAsia="zh-CN"/>
              </w:rPr>
              <w:t>攀枝花市</w:t>
            </w:r>
            <w:r>
              <w:rPr>
                <w:rFonts w:hint="eastAsia" w:ascii="Times New Roman" w:hAnsi="Times New Roman" w:eastAsia="仿宋_GB2312" w:cs="Times New Roman"/>
                <w:sz w:val="28"/>
                <w:szCs w:val="28"/>
                <w:lang w:eastAsia="zh-CN"/>
              </w:rPr>
              <w:t>整改方案第</w:t>
            </w:r>
            <w:r>
              <w:rPr>
                <w:rFonts w:hint="eastAsia" w:ascii="Times New Roman" w:hAnsi="Times New Roman" w:eastAsia="仿宋_GB2312" w:cs="Times New Roman"/>
                <w:sz w:val="28"/>
                <w:szCs w:val="28"/>
                <w:lang w:val="en-US" w:eastAsia="zh-CN"/>
              </w:rPr>
              <w:t>二十五项整改任务：</w:t>
            </w:r>
            <w:r>
              <w:rPr>
                <w:rFonts w:hint="default" w:ascii="Times New Roman" w:hAnsi="Times New Roman" w:eastAsia="仿宋_GB2312" w:cs="Times New Roman"/>
                <w:sz w:val="28"/>
                <w:szCs w:val="28"/>
              </w:rPr>
              <w:t>矿山矿企生态环境问题突出，矿企违法违规问题频发。攀枝花市自然资源、水利、林业等行业主管部门日常监管流于形式，对企业长期存在的违法违规问题失管失察。</w:t>
            </w:r>
          </w:p>
        </w:tc>
      </w:tr>
      <w:tr w14:paraId="35FE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805" w:hRule="atLeast"/>
          <w:jc w:val="center"/>
        </w:trPr>
        <w:tc>
          <w:tcPr>
            <w:tcW w:w="2472" w:type="dxa"/>
            <w:tcBorders>
              <w:top w:val="single" w:color="auto" w:sz="4" w:space="0"/>
              <w:left w:val="single" w:color="auto" w:sz="4" w:space="0"/>
              <w:bottom w:val="single" w:color="auto" w:sz="4" w:space="0"/>
              <w:right w:val="single" w:color="auto" w:sz="4" w:space="0"/>
            </w:tcBorders>
            <w:vAlign w:val="center"/>
          </w:tcPr>
          <w:p w14:paraId="4EA4A539">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rFonts w:ascii="Times New Roman" w:hAnsi="Times New Roman" w:eastAsia="楷体_GB2312" w:cs="Times New Roman"/>
                <w:bCs/>
                <w:kern w:val="0"/>
                <w:sz w:val="30"/>
                <w:szCs w:val="30"/>
              </w:rPr>
            </w:pPr>
            <w:r>
              <w:rPr>
                <w:rFonts w:hint="eastAsia" w:ascii="Times New Roman" w:hAnsi="Times New Roman" w:eastAsia="黑体" w:cs="黑体"/>
                <w:bCs/>
                <w:kern w:val="0"/>
                <w:sz w:val="28"/>
                <w:szCs w:val="28"/>
              </w:rPr>
              <w:t>整改实施主体</w:t>
            </w:r>
          </w:p>
        </w:tc>
        <w:tc>
          <w:tcPr>
            <w:tcW w:w="6362" w:type="dxa"/>
            <w:tcBorders>
              <w:top w:val="single" w:color="auto" w:sz="4" w:space="0"/>
              <w:left w:val="nil"/>
              <w:bottom w:val="single" w:color="auto" w:sz="4" w:space="0"/>
              <w:right w:val="single" w:color="auto" w:sz="4" w:space="0"/>
            </w:tcBorders>
            <w:vAlign w:val="center"/>
          </w:tcPr>
          <w:p w14:paraId="649FDEDA">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ascii="Times New Roman" w:hAnsi="Times New Roman" w:eastAsia="楷体_GB2312" w:cs="Times New Roman"/>
                <w:kern w:val="0"/>
                <w:sz w:val="30"/>
                <w:szCs w:val="30"/>
              </w:rPr>
            </w:pPr>
            <w:r>
              <w:rPr>
                <w:rFonts w:hint="eastAsia" w:ascii="Times New Roman" w:hAnsi="Times New Roman" w:eastAsia="仿宋_GB2312" w:cs="Times New Roman"/>
                <w:sz w:val="28"/>
                <w:szCs w:val="28"/>
                <w:lang w:eastAsia="zh-CN"/>
              </w:rPr>
              <w:t>市自然资源和规划局、市水利局、市林业局，各县（区）政府、钒钛高新区管委会</w:t>
            </w:r>
          </w:p>
        </w:tc>
      </w:tr>
      <w:tr w14:paraId="764A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310" w:hRule="atLeast"/>
          <w:jc w:val="center"/>
        </w:trPr>
        <w:tc>
          <w:tcPr>
            <w:tcW w:w="2472" w:type="dxa"/>
            <w:tcBorders>
              <w:top w:val="single" w:color="auto" w:sz="4" w:space="0"/>
              <w:left w:val="single" w:color="auto" w:sz="4" w:space="0"/>
              <w:bottom w:val="single" w:color="auto" w:sz="4" w:space="0"/>
              <w:right w:val="single" w:color="auto" w:sz="4" w:space="0"/>
            </w:tcBorders>
            <w:vAlign w:val="center"/>
          </w:tcPr>
          <w:p w14:paraId="0CD948B5">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rFonts w:ascii="Times New Roman" w:hAnsi="Times New Roman" w:eastAsia="楷体_GB2312" w:cs="Times New Roman"/>
                <w:bCs/>
                <w:kern w:val="0"/>
                <w:sz w:val="30"/>
                <w:szCs w:val="30"/>
              </w:rPr>
            </w:pPr>
            <w:r>
              <w:rPr>
                <w:rFonts w:hint="eastAsia" w:ascii="Times New Roman" w:hAnsi="Times New Roman" w:eastAsia="黑体" w:cs="黑体"/>
                <w:bCs/>
                <w:kern w:val="0"/>
                <w:sz w:val="28"/>
                <w:szCs w:val="28"/>
              </w:rPr>
              <w:t>整改目标</w:t>
            </w:r>
          </w:p>
        </w:tc>
        <w:tc>
          <w:tcPr>
            <w:tcW w:w="6362" w:type="dxa"/>
            <w:tcBorders>
              <w:top w:val="single" w:color="auto" w:sz="4" w:space="0"/>
              <w:left w:val="nil"/>
              <w:bottom w:val="single" w:color="auto" w:sz="4" w:space="0"/>
              <w:right w:val="single" w:color="auto" w:sz="4" w:space="0"/>
            </w:tcBorders>
            <w:vAlign w:val="center"/>
          </w:tcPr>
          <w:p w14:paraId="5DE09627">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ascii="Times New Roman" w:hAnsi="Times New Roman" w:eastAsia="楷体_GB2312" w:cs="Times New Roman"/>
                <w:kern w:val="0"/>
                <w:sz w:val="30"/>
                <w:szCs w:val="30"/>
              </w:rPr>
            </w:pPr>
            <w:r>
              <w:rPr>
                <w:rFonts w:hint="eastAsia" w:ascii="Times New Roman" w:hAnsi="Times New Roman" w:eastAsia="仿宋_GB2312" w:cs="Times New Roman"/>
                <w:sz w:val="28"/>
                <w:szCs w:val="28"/>
                <w:lang w:eastAsia="zh-CN"/>
              </w:rPr>
              <w:t>坚持集中整治和日常监管相结合，推动矿山企业合法合规开采矿产资源和使用土地，规范矿山企业涉水行为，保护森林生态资源安全。</w:t>
            </w:r>
          </w:p>
        </w:tc>
      </w:tr>
      <w:tr w14:paraId="59BC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725" w:hRule="atLeast"/>
          <w:jc w:val="center"/>
        </w:trPr>
        <w:tc>
          <w:tcPr>
            <w:tcW w:w="2472" w:type="dxa"/>
            <w:tcBorders>
              <w:top w:val="single" w:color="auto" w:sz="4" w:space="0"/>
              <w:left w:val="single" w:color="auto" w:sz="4" w:space="0"/>
              <w:bottom w:val="single" w:color="auto" w:sz="4" w:space="0"/>
              <w:right w:val="single" w:color="auto" w:sz="4" w:space="0"/>
            </w:tcBorders>
            <w:vAlign w:val="center"/>
          </w:tcPr>
          <w:p w14:paraId="2FE70801">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rFonts w:ascii="Times New Roman" w:hAnsi="Times New Roman" w:eastAsia="黑体" w:cs="黑体"/>
                <w:bCs/>
                <w:kern w:val="0"/>
                <w:sz w:val="28"/>
                <w:szCs w:val="28"/>
              </w:rPr>
            </w:pPr>
            <w:r>
              <w:rPr>
                <w:rFonts w:hint="eastAsia" w:ascii="Times New Roman" w:hAnsi="Times New Roman" w:eastAsia="黑体" w:cs="黑体"/>
                <w:bCs/>
                <w:kern w:val="0"/>
                <w:sz w:val="28"/>
                <w:szCs w:val="28"/>
              </w:rPr>
              <w:t>整改时限</w:t>
            </w:r>
          </w:p>
        </w:tc>
        <w:tc>
          <w:tcPr>
            <w:tcW w:w="6362" w:type="dxa"/>
            <w:tcBorders>
              <w:top w:val="single" w:color="auto" w:sz="4" w:space="0"/>
              <w:left w:val="nil"/>
              <w:bottom w:val="single" w:color="auto" w:sz="4" w:space="0"/>
              <w:right w:val="single" w:color="auto" w:sz="4" w:space="0"/>
            </w:tcBorders>
            <w:vAlign w:val="center"/>
          </w:tcPr>
          <w:p w14:paraId="2E7F6C76">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ascii="Times New Roman" w:hAnsi="Times New Roman" w:eastAsia="楷体_GB2312" w:cs="Times New Roman"/>
                <w:kern w:val="0"/>
                <w:sz w:val="30"/>
                <w:szCs w:val="30"/>
              </w:rPr>
            </w:pPr>
            <w:r>
              <w:rPr>
                <w:rFonts w:hint="eastAsia" w:ascii="Times New Roman" w:hAnsi="Times New Roman" w:eastAsia="仿宋_GB2312" w:cs="Times New Roman"/>
                <w:sz w:val="28"/>
                <w:szCs w:val="28"/>
                <w:lang w:val="en-US" w:eastAsia="zh-CN"/>
              </w:rPr>
              <w:t>2024年12月</w:t>
            </w:r>
          </w:p>
        </w:tc>
      </w:tr>
      <w:tr w14:paraId="3096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762" w:hRule="atLeast"/>
          <w:jc w:val="center"/>
        </w:trPr>
        <w:tc>
          <w:tcPr>
            <w:tcW w:w="2472" w:type="dxa"/>
            <w:tcBorders>
              <w:top w:val="single" w:color="auto" w:sz="4" w:space="0"/>
              <w:left w:val="single" w:color="auto" w:sz="4" w:space="0"/>
              <w:bottom w:val="single" w:color="auto" w:sz="4" w:space="0"/>
              <w:right w:val="single" w:color="auto" w:sz="4" w:space="0"/>
            </w:tcBorders>
            <w:vAlign w:val="center"/>
          </w:tcPr>
          <w:p w14:paraId="3A05BD5F">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rFonts w:ascii="Times New Roman" w:hAnsi="Times New Roman" w:eastAsia="楷体_GB2312" w:cs="Times New Roman"/>
                <w:bCs/>
                <w:kern w:val="0"/>
                <w:sz w:val="30"/>
                <w:szCs w:val="30"/>
              </w:rPr>
            </w:pPr>
            <w:r>
              <w:rPr>
                <w:rFonts w:hint="eastAsia" w:ascii="Times New Roman" w:hAnsi="Times New Roman" w:eastAsia="黑体" w:cs="黑体"/>
                <w:bCs/>
                <w:kern w:val="0"/>
                <w:sz w:val="28"/>
                <w:szCs w:val="28"/>
              </w:rPr>
              <w:t>整改措施</w:t>
            </w:r>
          </w:p>
        </w:tc>
        <w:tc>
          <w:tcPr>
            <w:tcW w:w="6362" w:type="dxa"/>
            <w:tcBorders>
              <w:top w:val="single" w:color="auto" w:sz="4" w:space="0"/>
              <w:left w:val="nil"/>
              <w:bottom w:val="single" w:color="auto" w:sz="4" w:space="0"/>
              <w:right w:val="single" w:color="auto" w:sz="4" w:space="0"/>
            </w:tcBorders>
            <w:vAlign w:val="center"/>
          </w:tcPr>
          <w:p w14:paraId="1B3487DC">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w:t>
            </w:r>
            <w:r>
              <w:rPr>
                <w:rFonts w:hint="eastAsia" w:ascii="Times New Roman" w:hAnsi="Times New Roman" w:eastAsia="仿宋_GB2312" w:cs="Times New Roman"/>
                <w:sz w:val="28"/>
                <w:szCs w:val="28"/>
                <w:lang w:val="en-US" w:eastAsia="zh-CN"/>
              </w:rPr>
              <w:t>2024年12月底前，</w:t>
            </w:r>
            <w:r>
              <w:rPr>
                <w:rFonts w:hint="eastAsia" w:ascii="Times New Roman" w:hAnsi="Times New Roman" w:eastAsia="仿宋_GB2312" w:cs="Times New Roman"/>
                <w:sz w:val="28"/>
                <w:szCs w:val="28"/>
                <w:lang w:eastAsia="zh-CN"/>
              </w:rPr>
              <w:t>结合全市矿山生态修复“百日攻坚”专项行动，开展矿山企业违法采矿和违法用地行为排查整治工作；每季度组织召开全市预防和打击非法违法采矿行为联席会议，形成多部门齐抓共管的工作格局。</w:t>
            </w:r>
          </w:p>
          <w:p w14:paraId="5D84AAEA">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2.2024年12月底前，组织开展矿山企业取用水、涉河建设（活动）项目专项重点排查，结合排查情况</w:t>
            </w:r>
            <w:r>
              <w:rPr>
                <w:rFonts w:hint="eastAsia" w:ascii="Times New Roman" w:eastAsia="仿宋_GB2312" w:cs="Times New Roman"/>
                <w:sz w:val="28"/>
                <w:szCs w:val="28"/>
                <w:lang w:eastAsia="zh-CN"/>
              </w:rPr>
              <w:t>，</w:t>
            </w:r>
            <w:r>
              <w:rPr>
                <w:rFonts w:hint="eastAsia" w:ascii="Times New Roman" w:hAnsi="Times New Roman" w:eastAsia="仿宋_GB2312" w:cs="Times New Roman"/>
                <w:sz w:val="28"/>
                <w:szCs w:val="28"/>
                <w:lang w:eastAsia="zh-CN"/>
              </w:rPr>
              <w:t>督促指导矿山企业依法依规办理取水、涉河许可手续，开展水土保持监测，按季度报送监测成果</w:t>
            </w:r>
            <w:r>
              <w:rPr>
                <w:rFonts w:hint="eastAsia" w:ascii="Times New Roman" w:eastAsia="仿宋_GB2312" w:cs="Times New Roman"/>
                <w:sz w:val="28"/>
                <w:szCs w:val="28"/>
                <w:lang w:eastAsia="zh-CN"/>
              </w:rPr>
              <w:t>，</w:t>
            </w:r>
            <w:r>
              <w:rPr>
                <w:rFonts w:hint="eastAsia" w:ascii="Times New Roman" w:hAnsi="Times New Roman" w:eastAsia="仿宋_GB2312" w:cs="Times New Roman"/>
                <w:sz w:val="28"/>
                <w:szCs w:val="28"/>
                <w:lang w:eastAsia="zh-CN"/>
              </w:rPr>
              <w:t>按照批复的水土保持方案落实水土保持措施。</w:t>
            </w:r>
          </w:p>
          <w:p w14:paraId="3C70F209">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3.2024年8月底前，组织开展一次勘探采矿项目使用林草地专项清理排查，全面清理矿企是否存在未批先占、批少占多、批甲占乙、未按审批用途用地等违法使用林地行为。</w:t>
            </w:r>
          </w:p>
          <w:p w14:paraId="501A73A4">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eastAsia="zh-CN"/>
              </w:rPr>
              <w:t>4.2024年12月底前，完成红坭永生炭业大湾子堆场超范围使用林地等涉矿林业违法问题线索查处整改。</w:t>
            </w:r>
          </w:p>
        </w:tc>
      </w:tr>
      <w:tr w14:paraId="78E1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 w:type="dxa"/>
            <w:bottom w:w="0" w:type="dxa"/>
            <w:right w:w="17" w:type="dxa"/>
          </w:tblCellMar>
        </w:tblPrEx>
        <w:trPr>
          <w:trHeight w:val="1276" w:hRule="atLeast"/>
          <w:jc w:val="center"/>
        </w:trPr>
        <w:tc>
          <w:tcPr>
            <w:tcW w:w="2472" w:type="dxa"/>
            <w:tcBorders>
              <w:top w:val="single" w:color="auto" w:sz="4" w:space="0"/>
              <w:left w:val="single" w:color="auto" w:sz="4" w:space="0"/>
              <w:bottom w:val="single" w:color="auto" w:sz="4" w:space="0"/>
              <w:right w:val="single" w:color="auto" w:sz="4" w:space="0"/>
            </w:tcBorders>
            <w:vAlign w:val="center"/>
          </w:tcPr>
          <w:p w14:paraId="66EB8623">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rFonts w:ascii="Times New Roman" w:hAnsi="Times New Roman" w:eastAsia="黑体" w:cs="黑体"/>
                <w:bCs/>
                <w:kern w:val="0"/>
                <w:sz w:val="28"/>
                <w:szCs w:val="28"/>
              </w:rPr>
            </w:pPr>
            <w:r>
              <w:rPr>
                <w:rFonts w:hint="eastAsia" w:ascii="Times New Roman" w:hAnsi="Times New Roman" w:eastAsia="黑体" w:cs="黑体"/>
                <w:bCs/>
                <w:kern w:val="0"/>
                <w:sz w:val="28"/>
                <w:szCs w:val="28"/>
              </w:rPr>
              <w:t>整改主要工作</w:t>
            </w:r>
          </w:p>
          <w:p w14:paraId="3D02C032">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rFonts w:ascii="Times New Roman" w:hAnsi="Times New Roman" w:eastAsia="楷体_GB2312" w:cs="Times New Roman"/>
                <w:bCs/>
                <w:kern w:val="0"/>
                <w:sz w:val="30"/>
                <w:szCs w:val="30"/>
              </w:rPr>
            </w:pPr>
            <w:r>
              <w:rPr>
                <w:rFonts w:hint="eastAsia" w:ascii="Times New Roman" w:hAnsi="Times New Roman" w:eastAsia="黑体" w:cs="黑体"/>
                <w:bCs/>
                <w:kern w:val="0"/>
                <w:sz w:val="28"/>
                <w:szCs w:val="28"/>
              </w:rPr>
              <w:t>及成效</w:t>
            </w:r>
          </w:p>
        </w:tc>
        <w:tc>
          <w:tcPr>
            <w:tcW w:w="6362" w:type="dxa"/>
            <w:tcBorders>
              <w:top w:val="single" w:color="auto" w:sz="4" w:space="0"/>
              <w:left w:val="nil"/>
              <w:bottom w:val="single" w:color="auto" w:sz="4" w:space="0"/>
              <w:right w:val="single" w:color="auto" w:sz="4" w:space="0"/>
            </w:tcBorders>
            <w:vAlign w:val="center"/>
          </w:tcPr>
          <w:p w14:paraId="01E9D7B9">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结合全市矿山生态修复“百日攻坚”专项行动，开展矿山企业违法采矿和违法用地行为排查整治工作，对存在自然资源违法行为的12家企业进行立案查处。2024年，组织召开4次全市预防和打击非法违法采矿联席会议，部署推动有关工作，立案查处违法采矿案件3件。</w:t>
            </w:r>
          </w:p>
          <w:p w14:paraId="6ACFED5C">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2.印发《攀枝花市水利局关于进一步加强露天矿山水土保持工作的通知》（攀水发</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2024〕162号），组织县（区）开展辖区矿山水土保持工作全面排查，督促在建、在生产矿山按照水土保持监测并按季度报送监测成果，目前全市40座在建、在生产矿山依法开展水土保持监测，水土保持措施落实情况达到批复方案时序要求。印发《攀枝花市矿山企业及重点监控取水户取用水专项排查工作方案》的通知（攀水发</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2024</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156号）开展全市矿山企业取用水县级全覆盖排查和市级抽查，整改取用水管理问题11个，切实规范矿山企业取用水行为。印发《攀枝花市水利局关于印发&lt;攀枝花市矿山企业涉河建设（活动）专项排查工作方案&gt;的通知》（攀水发</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2024</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161号），开展全市矿山企业涉河审批全面排查。目前，已督促涉及河道的在建、在生产矿山开展涉河建设审批。下一步将持续加强涉水项目监督管理，切实落实监管责任。</w:t>
            </w:r>
          </w:p>
          <w:p w14:paraId="5902CC05">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3.2024年3月，市林业局组织开展了勘查采矿项目及其附属设施（含尾矿库、施工道路、生产生活区等）使用林草地专项清理排查工作,结合矿山生态环境综合整治、“双随机一公开”等专项行动</w:t>
            </w:r>
            <w:r>
              <w:rPr>
                <w:rFonts w:hint="eastAsia" w:ascii="Times New Roman" w:eastAsia="仿宋_GB2312" w:cs="Times New Roman"/>
                <w:sz w:val="28"/>
                <w:szCs w:val="28"/>
                <w:lang w:val="en-US" w:eastAsia="zh-CN"/>
              </w:rPr>
              <w:t>，</w:t>
            </w:r>
            <w:r>
              <w:rPr>
                <w:rFonts w:hint="eastAsia" w:ascii="Times New Roman" w:hAnsi="Times New Roman" w:eastAsia="仿宋_GB2312" w:cs="Times New Roman"/>
                <w:sz w:val="28"/>
                <w:szCs w:val="28"/>
                <w:lang w:val="en-US" w:eastAsia="zh-CN"/>
              </w:rPr>
              <w:t>共计开展勘探采矿项目专项检查10余次，检查70余个点位。发现1起超范围使用林地的矿山项目，已督促县（区）查处到位，并恢复林业生产条件和植被。同时，再次对省级下发存在违法用地的38个勘探采矿项目开展了排查，其涉嫌违法的行为全部查处到位。该项整改措施已完成。</w:t>
            </w:r>
          </w:p>
          <w:p w14:paraId="61A9F1D8">
            <w:pPr>
              <w:keepNext w:val="0"/>
              <w:keepLines w:val="0"/>
              <w:pageBreakBefore w:val="0"/>
              <w:widowControl w:val="0"/>
              <w:kinsoku/>
              <w:wordWrap/>
              <w:overflowPunct w:val="0"/>
              <w:topLinePunct/>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4</w:t>
            </w:r>
            <w:r>
              <w:rPr>
                <w:rFonts w:hint="eastAsia" w:ascii="方正仿宋_GBK" w:hAnsi="方正仿宋_GBK" w:eastAsia="方正仿宋_GBK" w:cs="方正仿宋_GBK"/>
                <w:sz w:val="28"/>
                <w:szCs w:val="28"/>
                <w:lang w:val="en-US" w:eastAsia="zh-CN"/>
              </w:rPr>
              <w:t>.</w:t>
            </w:r>
            <w:r>
              <w:rPr>
                <w:rFonts w:hint="eastAsia" w:ascii="Times New Roman" w:hAnsi="Times New Roman" w:eastAsia="仿宋_GB2312" w:cs="Times New Roman"/>
                <w:sz w:val="28"/>
                <w:szCs w:val="28"/>
                <w:lang w:val="en-US" w:eastAsia="zh-CN"/>
              </w:rPr>
              <w:t>2023年6月2日，盐边县林业局针对盐边县永生炭业有限公司在未办理林地使用审批手续的情况下</w:t>
            </w:r>
            <w:r>
              <w:rPr>
                <w:rFonts w:hint="eastAsia" w:ascii="Times New Roman" w:eastAsia="仿宋_GB2312" w:cs="Times New Roman"/>
                <w:sz w:val="28"/>
                <w:szCs w:val="28"/>
                <w:lang w:val="en-US" w:eastAsia="zh-CN"/>
              </w:rPr>
              <w:t>，</w:t>
            </w:r>
            <w:r>
              <w:rPr>
                <w:rFonts w:hint="eastAsia" w:ascii="Times New Roman" w:hAnsi="Times New Roman" w:eastAsia="仿宋_GB2312" w:cs="Times New Roman"/>
                <w:sz w:val="28"/>
                <w:szCs w:val="28"/>
                <w:lang w:val="en-US" w:eastAsia="zh-CN"/>
              </w:rPr>
              <w:t>在盐边县红果彝族乡花地村哑口组姜家湾林地内堆放煤矸石违法使用林地面积3325平方米。作出行政处罚</w:t>
            </w:r>
            <w:r>
              <w:rPr>
                <w:rFonts w:hint="eastAsia" w:ascii="Times New Roman" w:eastAsia="仿宋_GB2312" w:cs="Times New Roman"/>
                <w:sz w:val="28"/>
                <w:szCs w:val="28"/>
                <w:lang w:val="en-US" w:eastAsia="zh-CN"/>
              </w:rPr>
              <w:t>：</w:t>
            </w:r>
            <w:r>
              <w:rPr>
                <w:rFonts w:hint="eastAsia" w:ascii="Times New Roman" w:hAnsi="Times New Roman" w:eastAsia="仿宋_GB2312" w:cs="Times New Roman"/>
                <w:sz w:val="28"/>
                <w:szCs w:val="28"/>
                <w:lang w:val="en-US" w:eastAsia="zh-CN"/>
              </w:rPr>
              <w:t>1</w:t>
            </w:r>
            <w:r>
              <w:rPr>
                <w:rFonts w:hint="eastAsia" w:ascii="方正仿宋_GBK" w:hAnsi="方正仿宋_GBK" w:eastAsia="方正仿宋_GBK" w:cs="方正仿宋_GBK"/>
                <w:sz w:val="28"/>
                <w:szCs w:val="28"/>
                <w:lang w:val="en-US" w:eastAsia="zh-CN"/>
              </w:rPr>
              <w:t>.</w:t>
            </w:r>
            <w:r>
              <w:rPr>
                <w:rFonts w:hint="eastAsia" w:ascii="Times New Roman" w:hAnsi="Times New Roman" w:eastAsia="仿宋_GB2312" w:cs="Times New Roman"/>
                <w:sz w:val="28"/>
                <w:szCs w:val="28"/>
                <w:lang w:val="en-US" w:eastAsia="zh-CN"/>
              </w:rPr>
              <w:t>限2023年12月31日前恢复植被和林业生产条件。2</w:t>
            </w:r>
            <w:r>
              <w:rPr>
                <w:rFonts w:hint="eastAsia" w:ascii="方正仿宋_GBK" w:hAnsi="方正仿宋_GBK" w:eastAsia="方正仿宋_GBK" w:cs="方正仿宋_GBK"/>
                <w:sz w:val="28"/>
                <w:szCs w:val="28"/>
                <w:lang w:val="en-US" w:eastAsia="zh-CN"/>
              </w:rPr>
              <w:t>.</w:t>
            </w:r>
            <w:r>
              <w:rPr>
                <w:rFonts w:hint="eastAsia" w:ascii="Times New Roman" w:hAnsi="Times New Roman" w:eastAsia="仿宋_GB2312" w:cs="Times New Roman"/>
                <w:sz w:val="28"/>
                <w:szCs w:val="28"/>
                <w:lang w:val="en-US" w:eastAsia="zh-CN"/>
              </w:rPr>
              <w:t>处擅自改变林地用途的罚款3.32万元。目前，现该公司2024年1月9日缴纳罚款</w:t>
            </w:r>
            <w:r>
              <w:rPr>
                <w:rFonts w:hint="eastAsia" w:ascii="Times New Roman" w:eastAsia="仿宋_GB2312" w:cs="Times New Roman"/>
                <w:sz w:val="28"/>
                <w:szCs w:val="28"/>
                <w:lang w:val="en-US" w:eastAsia="zh-CN"/>
              </w:rPr>
              <w:t>，</w:t>
            </w:r>
            <w:r>
              <w:rPr>
                <w:rFonts w:hint="eastAsia" w:ascii="Times New Roman" w:hAnsi="Times New Roman" w:eastAsia="仿宋_GB2312" w:cs="Times New Roman"/>
                <w:sz w:val="28"/>
                <w:szCs w:val="28"/>
                <w:lang w:val="en-US" w:eastAsia="zh-CN"/>
              </w:rPr>
              <w:t>2025年3月18日已经通过植被恢复验收。</w:t>
            </w:r>
          </w:p>
        </w:tc>
      </w:tr>
    </w:tbl>
    <w:p w14:paraId="7589244C">
      <w:pPr>
        <w:pStyle w:val="2"/>
        <w:keepNext w:val="0"/>
        <w:keepLines w:val="0"/>
        <w:pageBreakBefore w:val="0"/>
        <w:widowControl w:val="0"/>
        <w:kinsoku/>
        <w:wordWrap/>
        <w:overflowPunct/>
        <w:topLinePunct w:val="0"/>
        <w:autoSpaceDE w:val="0"/>
        <w:autoSpaceDN w:val="0"/>
        <w:bidi w:val="0"/>
        <w:adjustRightInd w:val="0"/>
        <w:snapToGrid/>
        <w:spacing w:line="240" w:lineRule="exact"/>
        <w:textAlignment w:val="auto"/>
        <w:rPr>
          <w:rFonts w:hint="default" w:ascii="Times New Roman" w:hAnsi="Times New Roman" w:eastAsia="仿宋_GB2312" w:cs="Times New Roman"/>
          <w:sz w:val="10"/>
          <w:szCs w:val="10"/>
        </w:rPr>
      </w:pPr>
    </w:p>
    <w:p w14:paraId="3C695A4D"/>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1C57F04D-7E47-443A-8DCE-D674F2078A8D}"/>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2" w:fontKey="{89A69B01-92E5-4F87-8195-7C8965748F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BB5339"/>
    <w:rsid w:val="102D675B"/>
    <w:rsid w:val="178564C1"/>
    <w:rsid w:val="27E254EA"/>
    <w:rsid w:val="2ABB5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cs="宋体"/>
      <w:color w:val="000000"/>
      <w:kern w:val="0"/>
      <w:sz w:val="24"/>
    </w:rPr>
  </w:style>
  <w:style w:type="paragraph" w:styleId="3">
    <w:name w:val="index 8"/>
    <w:basedOn w:val="1"/>
    <w:next w:val="1"/>
    <w:semiHidden/>
    <w:qFormat/>
    <w:uiPriority w:val="99"/>
    <w:pPr>
      <w:ind w:left="2940"/>
    </w:pPr>
  </w:style>
  <w:style w:type="paragraph" w:styleId="4">
    <w:name w:val="Body Text"/>
    <w:basedOn w:val="1"/>
    <w:next w:val="3"/>
    <w:qFormat/>
    <w:uiPriority w:val="0"/>
    <w:pPr>
      <w:widowControl/>
      <w:spacing w:line="360" w:lineRule="auto"/>
      <w:jc w:val="left"/>
    </w:pPr>
    <w:rPr>
      <w:rFonts w:ascii="Calibri" w:hAnsi="Calibri" w:eastAsia="宋体" w:cs="Times New Roman"/>
      <w:color w:val="000000"/>
      <w:kern w:val="0"/>
      <w:sz w:val="24"/>
      <w:szCs w:val="24"/>
      <w:lang w:eastAsia="en-US" w:bidi="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1666</Words>
  <Characters>1774</Characters>
  <Lines>0</Lines>
  <Paragraphs>0</Paragraphs>
  <TotalTime>43</TotalTime>
  <ScaleCrop>false</ScaleCrop>
  <LinksUpToDate>false</LinksUpToDate>
  <CharactersWithSpaces>1776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2026-06-01T07:54:00Z</dcterms:created>
  <dc:creator>Administrator</dc:creator>
  <cp:lastModifiedBy>青菜萝卜</cp:lastModifiedBy>
  <cp:lastPrinted>2026-07-03T07:27:00Z</cp:lastPrinted>
  <dcterms:modified xsi:type="dcterms:W3CDTF">2026-07-20T08:30:51Z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eyJoZGlkIjoiN2YzNjBkOTgyNWQ1YTMxYzM3MzMwNWFiODNmOWIzYWMiLCJ1c2VySWQiOiIyOTQwOTUzNjcifQ==</vt:lpwstr>
  </property>
  <property fmtid="{D5CDD505-2E9C-101B-9397-08002B2CF9AE}" pid="4" name="ICV">
    <vt:lpwstr>3FDB61FE8717484988278FA24303BA07_13</vt:lpwstr>
  </property>
</Properties>
</file>