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outlineLvl w:val="0"/>
        <w:rPr>
          <w:spacing w:val="-4"/>
          <w:sz w:val="33"/>
          <w:szCs w:val="33"/>
        </w:rPr>
      </w:pPr>
      <w:bookmarkStart w:id="0" w:name="_Toc15306267"/>
      <w:bookmarkStart w:id="1" w:name="_Toc15396475"/>
      <w:bookmarkStart w:id="2" w:name="_Toc15396597"/>
      <w:bookmarkStart w:id="3" w:name="_Toc15378441"/>
      <w:bookmarkStart w:id="4" w:name="_Toc15377193"/>
      <w:bookmarkStart w:id="5" w:name="_Toc15377425"/>
    </w:p>
    <w:p>
      <w:pPr>
        <w:spacing w:line="560" w:lineRule="exact"/>
        <w:jc w:val="center"/>
        <w:outlineLvl w:val="0"/>
        <w:rPr>
          <w:spacing w:val="-4"/>
          <w:sz w:val="33"/>
          <w:szCs w:val="33"/>
        </w:rPr>
      </w:pPr>
    </w:p>
    <w:p>
      <w:pPr>
        <w:spacing w:line="560" w:lineRule="exact"/>
        <w:jc w:val="center"/>
        <w:outlineLvl w:val="0"/>
        <w:rPr>
          <w:spacing w:val="-4"/>
          <w:sz w:val="33"/>
          <w:szCs w:val="33"/>
        </w:rPr>
      </w:pPr>
    </w:p>
    <w:bookmarkEnd w:id="0"/>
    <w:bookmarkEnd w:id="1"/>
    <w:bookmarkEnd w:id="2"/>
    <w:bookmarkEnd w:id="3"/>
    <w:bookmarkEnd w:id="4"/>
    <w:bookmarkEnd w:id="5"/>
    <w:p>
      <w:pPr>
        <w:adjustRightInd w:val="0"/>
        <w:snapToGrid w:val="0"/>
        <w:jc w:val="center"/>
        <w:rPr>
          <w:sz w:val="72"/>
          <w:szCs w:val="72"/>
        </w:rPr>
      </w:pPr>
      <w:r>
        <w:rPr>
          <w:sz w:val="72"/>
          <w:szCs w:val="72"/>
        </w:rPr>
        <w:t>2025</w:t>
      </w:r>
      <w:r>
        <w:rPr>
          <w:rFonts w:hAnsi="宋体"/>
          <w:sz w:val="72"/>
          <w:szCs w:val="72"/>
        </w:rPr>
        <w:t>年度</w:t>
      </w:r>
    </w:p>
    <w:p>
      <w:pPr>
        <w:adjustRightInd w:val="0"/>
        <w:snapToGrid w:val="0"/>
        <w:spacing w:line="1200" w:lineRule="exact"/>
        <w:jc w:val="center"/>
        <w:rPr>
          <w:sz w:val="52"/>
          <w:szCs w:val="52"/>
        </w:rPr>
      </w:pPr>
      <w:bookmarkStart w:id="6" w:name="_Toc15396598"/>
      <w:bookmarkStart w:id="7" w:name="_Toc15396476"/>
      <w:bookmarkStart w:id="8" w:name="_Toc15306268"/>
      <w:bookmarkStart w:id="9" w:name="_Toc15377194"/>
      <w:bookmarkStart w:id="10" w:name="_Toc15377426"/>
      <w:bookmarkStart w:id="11" w:name="_Toc15378442"/>
      <w:r>
        <w:rPr>
          <w:rFonts w:hAnsi="宋体"/>
          <w:sz w:val="52"/>
          <w:szCs w:val="52"/>
        </w:rPr>
        <w:t>攀枝花市水土保持生态环境监测分站</w:t>
      </w:r>
    </w:p>
    <w:bookmarkEnd w:id="6"/>
    <w:bookmarkEnd w:id="7"/>
    <w:bookmarkEnd w:id="8"/>
    <w:bookmarkEnd w:id="9"/>
    <w:bookmarkEnd w:id="10"/>
    <w:bookmarkEnd w:id="11"/>
    <w:p>
      <w:pPr>
        <w:adjustRightInd w:val="0"/>
        <w:snapToGrid w:val="0"/>
        <w:spacing w:line="1200" w:lineRule="exact"/>
        <w:jc w:val="center"/>
        <w:rPr>
          <w:spacing w:val="-4"/>
          <w:sz w:val="52"/>
          <w:szCs w:val="52"/>
        </w:rPr>
      </w:pPr>
      <w:r>
        <w:rPr>
          <w:rFonts w:hAnsi="宋体"/>
          <w:sz w:val="52"/>
          <w:szCs w:val="52"/>
        </w:rPr>
        <w:t>单位决算公开文字说明</w:t>
      </w:r>
    </w:p>
    <w:p>
      <w:pPr>
        <w:pStyle w:val="36"/>
        <w:spacing w:line="560" w:lineRule="exact"/>
        <w:jc w:val="center"/>
        <w:rPr>
          <w:rFonts w:ascii="Times New Roman" w:hAnsi="Times New Roman" w:eastAsia="宋体" w:cs="Times New Roman"/>
          <w:color w:val="auto"/>
          <w:spacing w:val="-4"/>
          <w:kern w:val="2"/>
          <w:sz w:val="33"/>
          <w:szCs w:val="33"/>
          <w:lang w:val="zh-CN"/>
        </w:rPr>
        <w:sectPr>
          <w:footerReference r:id="rId5" w:type="first"/>
          <w:headerReference r:id="rId3" w:type="default"/>
          <w:footerReference r:id="rId4" w:type="default"/>
          <w:pgSz w:w="11906" w:h="16838"/>
          <w:pgMar w:top="2098" w:right="1474" w:bottom="1985" w:left="1588" w:header="851" w:footer="992" w:gutter="0"/>
          <w:pgNumType w:fmt="decimal" w:start="1"/>
          <w:cols w:space="425" w:num="1"/>
          <w:titlePg/>
          <w:docGrid w:type="lines" w:linePitch="312" w:charSpace="0"/>
        </w:sectPr>
      </w:pPr>
    </w:p>
    <w:sdt>
      <w:sdtPr>
        <w:rPr>
          <w:rFonts w:ascii="Times New Roman" w:hAnsi="Times New Roman" w:eastAsia="宋体" w:cs="Times New Roman"/>
          <w:color w:val="auto"/>
          <w:spacing w:val="-4"/>
          <w:kern w:val="2"/>
          <w:sz w:val="33"/>
          <w:szCs w:val="33"/>
          <w:lang w:val="zh-CN"/>
        </w:rPr>
        <w:id w:val="30202527"/>
        <w:docPartObj>
          <w:docPartGallery w:val="Table of Contents"/>
          <w:docPartUnique/>
        </w:docPartObj>
      </w:sdtPr>
      <w:sdtEndPr>
        <w:rPr>
          <w:rFonts w:ascii="Times New Roman" w:hAnsi="Times New Roman" w:eastAsia="宋体" w:cs="Times New Roman"/>
          <w:color w:val="auto"/>
          <w:spacing w:val="-4"/>
          <w:kern w:val="2"/>
          <w:sz w:val="33"/>
          <w:szCs w:val="33"/>
          <w:lang w:val="en-US"/>
        </w:rPr>
      </w:sdtEndPr>
      <w:sdtContent>
        <w:p>
          <w:pPr>
            <w:pStyle w:val="36"/>
            <w:spacing w:line="560" w:lineRule="exact"/>
            <w:jc w:val="center"/>
            <w:rPr>
              <w:rFonts w:ascii="Times New Roman" w:hAnsi="Times New Roman" w:eastAsia="宋体" w:cs="Times New Roman"/>
              <w:spacing w:val="-4"/>
              <w:sz w:val="33"/>
              <w:szCs w:val="33"/>
            </w:rPr>
          </w:pPr>
          <w:r>
            <w:rPr>
              <w:rFonts w:ascii="Times New Roman" w:hAnsi="宋体" w:eastAsia="宋体" w:cs="Times New Roman"/>
              <w:color w:val="auto"/>
              <w:spacing w:val="-4"/>
              <w:sz w:val="33"/>
              <w:szCs w:val="33"/>
              <w:lang w:val="zh-CN"/>
            </w:rPr>
            <w:t>目录</w:t>
          </w:r>
          <w:bookmarkStart w:id="114" w:name="_GoBack"/>
          <w:bookmarkEnd w:id="114"/>
        </w:p>
        <w:p>
          <w:pPr>
            <w:pStyle w:val="12"/>
            <w:spacing w:line="560" w:lineRule="exact"/>
            <w:rPr>
              <w:rFonts w:ascii="Times New Roman" w:hAnsi="Times New Roman" w:eastAsia="宋体"/>
              <w:spacing w:val="-4"/>
              <w:sz w:val="33"/>
              <w:szCs w:val="33"/>
            </w:rPr>
          </w:pPr>
          <w:r>
            <w:rPr>
              <w:rFonts w:ascii="Times New Roman" w:hAnsi="宋体" w:eastAsia="宋体"/>
              <w:spacing w:val="-4"/>
              <w:sz w:val="33"/>
              <w:szCs w:val="33"/>
            </w:rPr>
            <w:t>公开时间：</w:t>
          </w:r>
          <w:r>
            <w:rPr>
              <w:rFonts w:ascii="Times New Roman" w:hAnsi="Times New Roman" w:eastAsia="宋体"/>
              <w:spacing w:val="-4"/>
              <w:sz w:val="33"/>
              <w:szCs w:val="33"/>
            </w:rPr>
            <w:t>2026</w:t>
          </w:r>
          <w:r>
            <w:rPr>
              <w:rFonts w:ascii="Times New Roman" w:hAnsi="宋体" w:eastAsia="宋体"/>
              <w:spacing w:val="-4"/>
              <w:sz w:val="33"/>
              <w:szCs w:val="33"/>
            </w:rPr>
            <w:t>年</w:t>
          </w:r>
          <w:r>
            <w:rPr>
              <w:rFonts w:ascii="Times New Roman" w:hAnsi="Times New Roman" w:eastAsia="宋体"/>
              <w:spacing w:val="-4"/>
              <w:sz w:val="33"/>
              <w:szCs w:val="33"/>
            </w:rPr>
            <w:t>9</w:t>
          </w:r>
          <w:r>
            <w:rPr>
              <w:rFonts w:ascii="Times New Roman" w:hAnsi="宋体" w:eastAsia="宋体"/>
              <w:spacing w:val="-4"/>
              <w:sz w:val="33"/>
              <w:szCs w:val="33"/>
            </w:rPr>
            <w:t>月</w:t>
          </w:r>
          <w:r>
            <w:rPr>
              <w:rFonts w:hint="eastAsia" w:ascii="Times New Roman" w:hAnsi="Times New Roman" w:eastAsia="宋体"/>
              <w:spacing w:val="-4"/>
              <w:sz w:val="33"/>
              <w:szCs w:val="33"/>
              <w:lang w:val="en-US" w:eastAsia="zh-CN"/>
            </w:rPr>
            <w:t>9</w:t>
          </w:r>
          <w:r>
            <w:rPr>
              <w:rFonts w:ascii="Times New Roman" w:hAnsi="宋体" w:eastAsia="宋体"/>
              <w:spacing w:val="-4"/>
              <w:sz w:val="33"/>
              <w:szCs w:val="33"/>
            </w:rPr>
            <w:t>日</w:t>
          </w:r>
        </w:p>
        <w:p>
          <w:pPr>
            <w:pStyle w:val="12"/>
            <w:tabs>
              <w:tab w:val="right" w:leader="dot" w:pos="8844"/>
              <w:tab w:val="clear" w:pos="8296"/>
            </w:tabs>
            <w:rPr>
              <w:rFonts w:ascii="Times New Roman" w:hAnsi="Times New Roman" w:eastAsia="宋体"/>
            </w:rPr>
          </w:pPr>
          <w:r>
            <w:rPr>
              <w:rFonts w:ascii="Times New Roman" w:hAnsi="Times New Roman" w:eastAsia="宋体"/>
              <w:spacing w:val="-4"/>
              <w:sz w:val="33"/>
              <w:szCs w:val="33"/>
            </w:rPr>
            <w:fldChar w:fldCharType="begin"/>
          </w:r>
          <w:r>
            <w:rPr>
              <w:rFonts w:ascii="Times New Roman" w:hAnsi="Times New Roman" w:eastAsia="宋体"/>
              <w:spacing w:val="-4"/>
              <w:sz w:val="33"/>
              <w:szCs w:val="33"/>
            </w:rPr>
            <w:instrText xml:space="preserve"> TOC \o "1-3" \h \z \u </w:instrText>
          </w:r>
          <w:r>
            <w:rPr>
              <w:rFonts w:ascii="Times New Roman" w:hAnsi="Times New Roman" w:eastAsia="宋体"/>
              <w:spacing w:val="-4"/>
              <w:sz w:val="33"/>
              <w:szCs w:val="33"/>
            </w:rPr>
            <w:fldChar w:fldCharType="separate"/>
          </w:r>
          <w:r>
            <w:fldChar w:fldCharType="begin"/>
          </w:r>
          <w:r>
            <w:instrText xml:space="preserve"> HYPERLINK \l "_Toc407" </w:instrText>
          </w:r>
          <w:r>
            <w:fldChar w:fldCharType="separate"/>
          </w:r>
          <w:r>
            <w:rPr>
              <w:rFonts w:ascii="Times New Roman" w:hAnsi="宋体" w:eastAsia="宋体"/>
              <w:spacing w:val="-4"/>
            </w:rPr>
            <w:t>第一部分单位概况</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_Toc407 \h </w:instrText>
          </w:r>
          <w:r>
            <w:rPr>
              <w:rFonts w:ascii="Times New Roman" w:hAnsi="Times New Roman" w:eastAsia="宋体"/>
            </w:rPr>
            <w:fldChar w:fldCharType="separate"/>
          </w:r>
          <w:r>
            <w:rPr>
              <w:rFonts w:ascii="Times New Roman" w:hAnsi="Times New Roman" w:eastAsia="宋体"/>
            </w:rPr>
            <w:t>1</w:t>
          </w:r>
          <w:r>
            <w:rPr>
              <w:rFonts w:ascii="Times New Roman" w:hAnsi="Times New Roman" w:eastAsia="宋体"/>
            </w:rPr>
            <w:fldChar w:fldCharType="end"/>
          </w:r>
          <w:r>
            <w:rPr>
              <w:rFonts w:ascii="Times New Roman" w:hAnsi="Times New Roman" w:eastAsia="宋体"/>
            </w:rPr>
            <w:fldChar w:fldCharType="end"/>
          </w:r>
        </w:p>
        <w:p>
          <w:pPr>
            <w:pStyle w:val="13"/>
            <w:tabs>
              <w:tab w:val="right" w:leader="dot" w:pos="8844"/>
              <w:tab w:val="clear" w:pos="8296"/>
            </w:tabs>
            <w:rPr>
              <w:sz w:val="28"/>
              <w:szCs w:val="28"/>
            </w:rPr>
          </w:pPr>
          <w:r>
            <w:fldChar w:fldCharType="begin"/>
          </w:r>
          <w:r>
            <w:instrText xml:space="preserve"> HYPERLINK \l "_Toc24968" </w:instrText>
          </w:r>
          <w:r>
            <w:fldChar w:fldCharType="separate"/>
          </w:r>
          <w:r>
            <w:rPr>
              <w:rFonts w:hAnsi="宋体"/>
              <w:spacing w:val="-4"/>
              <w:sz w:val="28"/>
              <w:szCs w:val="28"/>
            </w:rPr>
            <w:t>一、单位职责</w:t>
          </w:r>
          <w:r>
            <w:rPr>
              <w:sz w:val="28"/>
              <w:szCs w:val="28"/>
            </w:rPr>
            <w:tab/>
          </w:r>
          <w:r>
            <w:rPr>
              <w:sz w:val="28"/>
              <w:szCs w:val="28"/>
            </w:rPr>
            <w:fldChar w:fldCharType="begin"/>
          </w:r>
          <w:r>
            <w:rPr>
              <w:sz w:val="28"/>
              <w:szCs w:val="28"/>
            </w:rPr>
            <w:instrText xml:space="preserve"> PAGEREF _Toc24968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"_Toc25820" </w:instrText>
          </w:r>
          <w:r>
            <w:fldChar w:fldCharType="separate"/>
          </w:r>
          <w:r>
            <w:rPr>
              <w:rFonts w:hAnsi="宋体"/>
              <w:spacing w:val="-4"/>
              <w:sz w:val="28"/>
              <w:szCs w:val="28"/>
            </w:rPr>
            <w:t>二、机构设置</w:t>
          </w:r>
          <w:r>
            <w:rPr>
              <w:sz w:val="28"/>
              <w:szCs w:val="28"/>
            </w:rPr>
            <w:tab/>
          </w:r>
          <w:r>
            <w:rPr>
              <w:sz w:val="28"/>
              <w:szCs w:val="28"/>
            </w:rPr>
            <w:fldChar w:fldCharType="begin"/>
          </w:r>
          <w:r>
            <w:rPr>
              <w:sz w:val="28"/>
              <w:szCs w:val="28"/>
            </w:rPr>
            <w:instrText xml:space="preserve"> PAGEREF _Toc25820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12"/>
            <w:tabs>
              <w:tab w:val="right" w:leader="dot" w:pos="8844"/>
              <w:tab w:val="clear" w:pos="8296"/>
            </w:tabs>
            <w:rPr>
              <w:rFonts w:ascii="Times New Roman" w:hAnsi="Times New Roman" w:eastAsia="宋体"/>
            </w:rPr>
          </w:pPr>
          <w:r>
            <w:fldChar w:fldCharType="begin"/>
          </w:r>
          <w:r>
            <w:instrText xml:space="preserve"> HYPERLINK \l "_Toc9814" </w:instrText>
          </w:r>
          <w:r>
            <w:fldChar w:fldCharType="separate"/>
          </w:r>
          <w:r>
            <w:rPr>
              <w:rFonts w:ascii="Times New Roman" w:hAnsi="宋体" w:eastAsia="宋体"/>
              <w:spacing w:val="-4"/>
            </w:rPr>
            <w:t>第二部分</w:t>
          </w:r>
          <w:r>
            <w:rPr>
              <w:rFonts w:ascii="Times New Roman" w:hAnsi="Times New Roman" w:eastAsia="宋体"/>
              <w:spacing w:val="-4"/>
            </w:rPr>
            <w:t>2025</w:t>
          </w:r>
          <w:r>
            <w:rPr>
              <w:rFonts w:ascii="Times New Roman" w:hAnsi="宋体" w:eastAsia="宋体"/>
              <w:spacing w:val="-4"/>
            </w:rPr>
            <w:t>年度部门决算情况说明</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_Toc9814 \h </w:instrText>
          </w:r>
          <w:r>
            <w:rPr>
              <w:rFonts w:ascii="Times New Roman" w:hAnsi="Times New Roman" w:eastAsia="宋体"/>
            </w:rPr>
            <w:fldChar w:fldCharType="separate"/>
          </w:r>
          <w:r>
            <w:rPr>
              <w:rFonts w:ascii="Times New Roman" w:hAnsi="Times New Roman" w:eastAsia="宋体"/>
            </w:rPr>
            <w:t>1</w:t>
          </w:r>
          <w:r>
            <w:rPr>
              <w:rFonts w:ascii="Times New Roman" w:hAnsi="Times New Roman" w:eastAsia="宋体"/>
            </w:rPr>
            <w:fldChar w:fldCharType="end"/>
          </w:r>
          <w:r>
            <w:rPr>
              <w:rFonts w:ascii="Times New Roman" w:hAnsi="Times New Roman" w:eastAsia="宋体"/>
            </w:rPr>
            <w:fldChar w:fldCharType="end"/>
          </w:r>
        </w:p>
        <w:p>
          <w:pPr>
            <w:pStyle w:val="13"/>
            <w:tabs>
              <w:tab w:val="right" w:leader="dot" w:pos="8844"/>
              <w:tab w:val="clear" w:pos="8296"/>
            </w:tabs>
            <w:rPr>
              <w:sz w:val="28"/>
              <w:szCs w:val="28"/>
            </w:rPr>
          </w:pPr>
          <w:r>
            <w:fldChar w:fldCharType="begin"/>
          </w:r>
          <w:r>
            <w:instrText xml:space="preserve"> HYPERLINK \l "_Toc8374" </w:instrText>
          </w:r>
          <w:r>
            <w:fldChar w:fldCharType="separate"/>
          </w:r>
          <w:r>
            <w:rPr>
              <w:rFonts w:hAnsi="宋体"/>
              <w:spacing w:val="-4"/>
              <w:sz w:val="28"/>
              <w:szCs w:val="28"/>
            </w:rPr>
            <w:t>一、收入支出决算总体情况说明</w:t>
          </w:r>
          <w:r>
            <w:rPr>
              <w:sz w:val="28"/>
              <w:szCs w:val="28"/>
            </w:rPr>
            <w:tab/>
          </w:r>
          <w:r>
            <w:rPr>
              <w:sz w:val="28"/>
              <w:szCs w:val="28"/>
            </w:rPr>
            <w:fldChar w:fldCharType="begin"/>
          </w:r>
          <w:r>
            <w:rPr>
              <w:sz w:val="28"/>
              <w:szCs w:val="28"/>
            </w:rPr>
            <w:instrText xml:space="preserve"> PAGEREF _Toc8374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"_Toc20895" </w:instrText>
          </w:r>
          <w:r>
            <w:fldChar w:fldCharType="separate"/>
          </w:r>
          <w:r>
            <w:rPr>
              <w:rFonts w:hAnsi="宋体"/>
              <w:spacing w:val="-4"/>
              <w:sz w:val="28"/>
              <w:szCs w:val="28"/>
            </w:rPr>
            <w:t>二、收入决算情况说明</w:t>
          </w:r>
          <w:r>
            <w:rPr>
              <w:sz w:val="28"/>
              <w:szCs w:val="28"/>
            </w:rPr>
            <w:tab/>
          </w:r>
          <w:r>
            <w:rPr>
              <w:sz w:val="28"/>
              <w:szCs w:val="28"/>
            </w:rPr>
            <w:fldChar w:fldCharType="begin"/>
          </w:r>
          <w:r>
            <w:rPr>
              <w:sz w:val="28"/>
              <w:szCs w:val="28"/>
            </w:rPr>
            <w:instrText xml:space="preserve"> PAGEREF _Toc20895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"_Toc2421" </w:instrText>
          </w:r>
          <w:r>
            <w:fldChar w:fldCharType="separate"/>
          </w:r>
          <w:r>
            <w:rPr>
              <w:rFonts w:hAnsi="宋体"/>
              <w:spacing w:val="-4"/>
              <w:sz w:val="28"/>
              <w:szCs w:val="28"/>
            </w:rPr>
            <w:t>三、支出决算情况说明</w:t>
          </w:r>
          <w:r>
            <w:rPr>
              <w:sz w:val="28"/>
              <w:szCs w:val="28"/>
            </w:rPr>
            <w:tab/>
          </w:r>
          <w:r>
            <w:rPr>
              <w:sz w:val="28"/>
              <w:szCs w:val="28"/>
            </w:rPr>
            <w:fldChar w:fldCharType="begin"/>
          </w:r>
          <w:r>
            <w:rPr>
              <w:sz w:val="28"/>
              <w:szCs w:val="28"/>
            </w:rPr>
            <w:instrText xml:space="preserve"> PAGEREF _Toc2421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"_Toc16950" </w:instrText>
          </w:r>
          <w:r>
            <w:fldChar w:fldCharType="separate"/>
          </w:r>
          <w:r>
            <w:rPr>
              <w:rFonts w:hAnsi="宋体"/>
              <w:spacing w:val="-4"/>
              <w:sz w:val="28"/>
              <w:szCs w:val="28"/>
            </w:rPr>
            <w:t>四、财政拨款收入支出决算总体情况说明</w:t>
          </w:r>
          <w:r>
            <w:rPr>
              <w:sz w:val="28"/>
              <w:szCs w:val="28"/>
            </w:rPr>
            <w:tab/>
          </w:r>
          <w:r>
            <w:rPr>
              <w:sz w:val="28"/>
              <w:szCs w:val="28"/>
            </w:rPr>
            <w:fldChar w:fldCharType="begin"/>
          </w:r>
          <w:r>
            <w:rPr>
              <w:sz w:val="28"/>
              <w:szCs w:val="28"/>
            </w:rPr>
            <w:instrText xml:space="preserve"> PAGEREF _Toc16950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"_Toc30555" </w:instrText>
          </w:r>
          <w:r>
            <w:fldChar w:fldCharType="separate"/>
          </w:r>
          <w:r>
            <w:rPr>
              <w:rFonts w:hAnsi="宋体"/>
              <w:spacing w:val="-4"/>
              <w:sz w:val="28"/>
              <w:szCs w:val="28"/>
            </w:rPr>
            <w:t>五、一般公共预算财政拨款支出决算情况说明</w:t>
          </w:r>
          <w:r>
            <w:rPr>
              <w:sz w:val="28"/>
              <w:szCs w:val="28"/>
            </w:rPr>
            <w:tab/>
          </w:r>
          <w:r>
            <w:rPr>
              <w:sz w:val="28"/>
              <w:szCs w:val="28"/>
            </w:rPr>
            <w:fldChar w:fldCharType="begin"/>
          </w:r>
          <w:r>
            <w:rPr>
              <w:sz w:val="28"/>
              <w:szCs w:val="28"/>
            </w:rPr>
            <w:instrText xml:space="preserve"> PAGEREF _Toc30555 \h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"_Toc31007" </w:instrText>
          </w:r>
          <w:r>
            <w:fldChar w:fldCharType="separate"/>
          </w:r>
          <w:r>
            <w:rPr>
              <w:rFonts w:hAnsi="宋体"/>
              <w:spacing w:val="-4"/>
              <w:sz w:val="28"/>
              <w:szCs w:val="28"/>
            </w:rPr>
            <w:t>六、一般公共预算财政拨款基本支出决算情况说明</w:t>
          </w:r>
          <w:r>
            <w:rPr>
              <w:sz w:val="28"/>
              <w:szCs w:val="28"/>
            </w:rPr>
            <w:tab/>
          </w:r>
          <w:r>
            <w:rPr>
              <w:sz w:val="28"/>
              <w:szCs w:val="28"/>
            </w:rPr>
            <w:fldChar w:fldCharType="begin"/>
          </w:r>
          <w:r>
            <w:rPr>
              <w:sz w:val="28"/>
              <w:szCs w:val="28"/>
            </w:rPr>
            <w:instrText xml:space="preserve"> PAGEREF _Toc31007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"_Toc4581" </w:instrText>
          </w:r>
          <w:r>
            <w:fldChar w:fldCharType="separate"/>
          </w:r>
          <w:r>
            <w:rPr>
              <w:rFonts w:hAnsi="宋体"/>
              <w:spacing w:val="-4"/>
              <w:sz w:val="28"/>
              <w:szCs w:val="28"/>
            </w:rPr>
            <w:t>七、财政拨款</w:t>
          </w:r>
          <w:r>
            <w:rPr>
              <w:spacing w:val="-4"/>
              <w:sz w:val="28"/>
              <w:szCs w:val="28"/>
            </w:rPr>
            <w:t>“</w:t>
          </w:r>
          <w:r>
            <w:rPr>
              <w:rFonts w:hAnsi="宋体"/>
              <w:spacing w:val="-4"/>
              <w:sz w:val="28"/>
              <w:szCs w:val="28"/>
            </w:rPr>
            <w:t>三公</w:t>
          </w:r>
          <w:r>
            <w:rPr>
              <w:spacing w:val="-4"/>
              <w:sz w:val="28"/>
              <w:szCs w:val="28"/>
            </w:rPr>
            <w:t>”</w:t>
          </w:r>
          <w:r>
            <w:rPr>
              <w:rFonts w:hAnsi="宋体"/>
              <w:spacing w:val="-4"/>
              <w:sz w:val="28"/>
              <w:szCs w:val="28"/>
            </w:rPr>
            <w:t>经费支出决算情况说明</w:t>
          </w:r>
          <w:r>
            <w:rPr>
              <w:sz w:val="28"/>
              <w:szCs w:val="28"/>
            </w:rPr>
            <w:tab/>
          </w:r>
          <w:r>
            <w:rPr>
              <w:sz w:val="28"/>
              <w:szCs w:val="28"/>
            </w:rPr>
            <w:fldChar w:fldCharType="begin"/>
          </w:r>
          <w:r>
            <w:rPr>
              <w:sz w:val="28"/>
              <w:szCs w:val="28"/>
            </w:rPr>
            <w:instrText xml:space="preserve"> PAGEREF _Toc4581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"_Toc10318" </w:instrText>
          </w:r>
          <w:r>
            <w:fldChar w:fldCharType="separate"/>
          </w:r>
          <w:r>
            <w:rPr>
              <w:rFonts w:hAnsi="宋体"/>
              <w:spacing w:val="-4"/>
              <w:sz w:val="28"/>
              <w:szCs w:val="28"/>
            </w:rPr>
            <w:t>八、政府性基金预算支出决算情况说明</w:t>
          </w:r>
          <w:r>
            <w:rPr>
              <w:sz w:val="28"/>
              <w:szCs w:val="28"/>
            </w:rPr>
            <w:tab/>
          </w:r>
          <w:r>
            <w:rPr>
              <w:sz w:val="28"/>
              <w:szCs w:val="28"/>
            </w:rPr>
            <w:fldChar w:fldCharType="begin"/>
          </w:r>
          <w:r>
            <w:rPr>
              <w:sz w:val="28"/>
              <w:szCs w:val="28"/>
            </w:rPr>
            <w:instrText xml:space="preserve"> PAGEREF _Toc10318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"_Toc21015" </w:instrText>
          </w:r>
          <w:r>
            <w:fldChar w:fldCharType="separate"/>
          </w:r>
          <w:r>
            <w:rPr>
              <w:rFonts w:hAnsi="宋体"/>
              <w:spacing w:val="-4"/>
              <w:sz w:val="28"/>
              <w:szCs w:val="28"/>
            </w:rPr>
            <w:t>九、国有资本经营预算支出决算情况说明</w:t>
          </w:r>
          <w:r>
            <w:rPr>
              <w:sz w:val="28"/>
              <w:szCs w:val="28"/>
            </w:rPr>
            <w:tab/>
          </w:r>
          <w:r>
            <w:rPr>
              <w:sz w:val="28"/>
              <w:szCs w:val="28"/>
            </w:rPr>
            <w:fldChar w:fldCharType="begin"/>
          </w:r>
          <w:r>
            <w:rPr>
              <w:sz w:val="28"/>
              <w:szCs w:val="28"/>
            </w:rPr>
            <w:instrText xml:space="preserve"> PAGEREF _Toc21015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"_Toc8230" </w:instrText>
          </w:r>
          <w:r>
            <w:fldChar w:fldCharType="separate"/>
          </w:r>
          <w:r>
            <w:rPr>
              <w:rFonts w:hAnsi="宋体"/>
              <w:spacing w:val="-4"/>
              <w:sz w:val="28"/>
              <w:szCs w:val="28"/>
            </w:rPr>
            <w:t>十、其他重要事项的情况说明</w:t>
          </w:r>
          <w:r>
            <w:rPr>
              <w:sz w:val="28"/>
              <w:szCs w:val="28"/>
            </w:rPr>
            <w:tab/>
          </w:r>
          <w:r>
            <w:rPr>
              <w:sz w:val="28"/>
              <w:szCs w:val="28"/>
            </w:rPr>
            <w:fldChar w:fldCharType="begin"/>
          </w:r>
          <w:r>
            <w:rPr>
              <w:sz w:val="28"/>
              <w:szCs w:val="28"/>
            </w:rPr>
            <w:instrText xml:space="preserve"> PAGEREF _Toc8230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2"/>
            <w:tabs>
              <w:tab w:val="right" w:leader="dot" w:pos="8844"/>
              <w:tab w:val="clear" w:pos="8296"/>
            </w:tabs>
            <w:rPr>
              <w:rFonts w:ascii="Times New Roman" w:hAnsi="Times New Roman" w:eastAsia="宋体"/>
            </w:rPr>
          </w:pPr>
          <w:r>
            <w:fldChar w:fldCharType="begin"/>
          </w:r>
          <w:r>
            <w:instrText xml:space="preserve"> HYPERLINK \l "_Toc23657" </w:instrText>
          </w:r>
          <w:r>
            <w:fldChar w:fldCharType="separate"/>
          </w:r>
          <w:r>
            <w:rPr>
              <w:rFonts w:ascii="Times New Roman" w:hAnsi="宋体" w:eastAsia="宋体"/>
              <w:spacing w:val="-4"/>
            </w:rPr>
            <w:t>第三部分名词解释</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_Toc23657 \h </w:instrText>
          </w:r>
          <w:r>
            <w:rPr>
              <w:rFonts w:ascii="Times New Roman" w:hAnsi="Times New Roman" w:eastAsia="宋体"/>
            </w:rPr>
            <w:fldChar w:fldCharType="separate"/>
          </w:r>
          <w:r>
            <w:rPr>
              <w:rFonts w:ascii="Times New Roman" w:hAnsi="Times New Roman" w:eastAsia="宋体"/>
            </w:rPr>
            <w:t>10</w:t>
          </w:r>
          <w:r>
            <w:rPr>
              <w:rFonts w:ascii="Times New Roman" w:hAnsi="Times New Roman" w:eastAsia="宋体"/>
            </w:rPr>
            <w:fldChar w:fldCharType="end"/>
          </w:r>
          <w:r>
            <w:rPr>
              <w:rFonts w:ascii="Times New Roman" w:hAnsi="Times New Roman" w:eastAsia="宋体"/>
            </w:rPr>
            <w:fldChar w:fldCharType="end"/>
          </w:r>
        </w:p>
        <w:p>
          <w:pPr>
            <w:pStyle w:val="12"/>
            <w:tabs>
              <w:tab w:val="right" w:leader="dot" w:pos="8844"/>
              <w:tab w:val="clear" w:pos="8296"/>
            </w:tabs>
            <w:rPr>
              <w:rFonts w:ascii="Times New Roman" w:hAnsi="Times New Roman" w:eastAsia="宋体"/>
            </w:rPr>
          </w:pPr>
          <w:r>
            <w:fldChar w:fldCharType="begin"/>
          </w:r>
          <w:r>
            <w:instrText xml:space="preserve"> HYPERLINK \l "_Toc23100" </w:instrText>
          </w:r>
          <w:r>
            <w:fldChar w:fldCharType="separate"/>
          </w:r>
          <w:r>
            <w:rPr>
              <w:rFonts w:ascii="Times New Roman" w:hAnsi="宋体" w:eastAsia="宋体"/>
              <w:spacing w:val="-4"/>
            </w:rPr>
            <w:t>第四部分附件</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_Toc23100 \h </w:instrText>
          </w:r>
          <w:r>
            <w:rPr>
              <w:rFonts w:ascii="Times New Roman" w:hAnsi="Times New Roman" w:eastAsia="宋体"/>
            </w:rPr>
            <w:fldChar w:fldCharType="separate"/>
          </w:r>
          <w:r>
            <w:rPr>
              <w:rFonts w:ascii="Times New Roman" w:hAnsi="Times New Roman" w:eastAsia="宋体"/>
            </w:rPr>
            <w:t>13</w:t>
          </w:r>
          <w:r>
            <w:rPr>
              <w:rFonts w:ascii="Times New Roman" w:hAnsi="Times New Roman" w:eastAsia="宋体"/>
            </w:rPr>
            <w:fldChar w:fldCharType="end"/>
          </w:r>
          <w:r>
            <w:rPr>
              <w:rFonts w:ascii="Times New Roman" w:hAnsi="Times New Roman" w:eastAsia="宋体"/>
            </w:rPr>
            <w:fldChar w:fldCharType="end"/>
          </w:r>
        </w:p>
        <w:p>
          <w:pPr>
            <w:pStyle w:val="12"/>
            <w:tabs>
              <w:tab w:val="right" w:leader="dot" w:pos="8844"/>
              <w:tab w:val="clear" w:pos="8296"/>
            </w:tabs>
            <w:rPr>
              <w:rFonts w:ascii="Times New Roman" w:hAnsi="Times New Roman" w:eastAsia="宋体"/>
            </w:rPr>
          </w:pPr>
          <w:r>
            <w:fldChar w:fldCharType="begin"/>
          </w:r>
          <w:r>
            <w:instrText xml:space="preserve"> HYPERLINK \l "_Toc5914" </w:instrText>
          </w:r>
          <w:r>
            <w:fldChar w:fldCharType="separate"/>
          </w:r>
          <w:r>
            <w:rPr>
              <w:rFonts w:ascii="Times New Roman" w:hAnsi="宋体" w:eastAsia="宋体"/>
              <w:spacing w:val="-4"/>
            </w:rPr>
            <w:t>第五部分附表</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_Toc5914 \h </w:instrText>
          </w:r>
          <w:r>
            <w:rPr>
              <w:rFonts w:ascii="Times New Roman" w:hAnsi="Times New Roman" w:eastAsia="宋体"/>
            </w:rPr>
            <w:fldChar w:fldCharType="separate"/>
          </w:r>
          <w:r>
            <w:rPr>
              <w:rFonts w:ascii="Times New Roman" w:hAnsi="Times New Roman" w:eastAsia="宋体"/>
            </w:rPr>
            <w:t>14</w:t>
          </w:r>
          <w:r>
            <w:rPr>
              <w:rFonts w:ascii="Times New Roman" w:hAnsi="Times New Roman" w:eastAsia="宋体"/>
            </w:rPr>
            <w:fldChar w:fldCharType="end"/>
          </w:r>
          <w:r>
            <w:rPr>
              <w:rFonts w:ascii="Times New Roman" w:hAnsi="Times New Roman" w:eastAsia="宋体"/>
            </w:rPr>
            <w:fldChar w:fldCharType="end"/>
          </w:r>
        </w:p>
        <w:p>
          <w:pPr>
            <w:pStyle w:val="13"/>
            <w:tabs>
              <w:tab w:val="right" w:leader="dot" w:pos="8844"/>
              <w:tab w:val="clear" w:pos="8296"/>
            </w:tabs>
            <w:sectPr>
              <w:footerReference r:id="rId7" w:type="first"/>
              <w:footerReference r:id="rId6" w:type="default"/>
              <w:pgSz w:w="11906" w:h="16838"/>
              <w:pgMar w:top="2098" w:right="1474" w:bottom="1985" w:left="1588" w:header="851" w:footer="992" w:gutter="0"/>
              <w:pgNumType w:fmt="decimal" w:start="1"/>
              <w:cols w:space="425" w:num="1"/>
              <w:docGrid w:type="lines" w:linePitch="312" w:charSpace="0"/>
            </w:sectPr>
          </w:pPr>
        </w:p>
        <w:p>
          <w:pPr>
            <w:pStyle w:val="13"/>
            <w:tabs>
              <w:tab w:val="right" w:leader="dot" w:pos="8844"/>
              <w:tab w:val="clear" w:pos="8296"/>
            </w:tabs>
            <w:rPr>
              <w:sz w:val="28"/>
              <w:szCs w:val="28"/>
            </w:rPr>
          </w:pPr>
          <w:r>
            <w:fldChar w:fldCharType="begin"/>
          </w:r>
          <w:r>
            <w:instrText xml:space="preserve"> HYPERLINK \l "_Toc4846" </w:instrText>
          </w:r>
          <w:r>
            <w:fldChar w:fldCharType="separate"/>
          </w:r>
          <w:r>
            <w:rPr>
              <w:rFonts w:hAnsi="宋体"/>
              <w:spacing w:val="-4"/>
              <w:sz w:val="28"/>
              <w:szCs w:val="28"/>
            </w:rPr>
            <w:t>一、收入支出决算总表</w:t>
          </w:r>
          <w:r>
            <w:rPr>
              <w:sz w:val="28"/>
              <w:szCs w:val="28"/>
            </w:rPr>
            <w:tab/>
          </w:r>
          <w:r>
            <w:rPr>
              <w:sz w:val="28"/>
              <w:szCs w:val="28"/>
            </w:rPr>
            <w:fldChar w:fldCharType="begin"/>
          </w:r>
          <w:r>
            <w:rPr>
              <w:sz w:val="28"/>
              <w:szCs w:val="28"/>
            </w:rPr>
            <w:instrText xml:space="preserve"> PAGEREF _Toc4846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"_Toc18398" </w:instrText>
          </w:r>
          <w:r>
            <w:fldChar w:fldCharType="separate"/>
          </w:r>
          <w:r>
            <w:rPr>
              <w:rFonts w:hAnsi="宋体"/>
              <w:spacing w:val="-4"/>
              <w:sz w:val="28"/>
              <w:szCs w:val="28"/>
            </w:rPr>
            <w:t>二、收入决算表</w:t>
          </w:r>
          <w:r>
            <w:rPr>
              <w:sz w:val="28"/>
              <w:szCs w:val="28"/>
            </w:rPr>
            <w:tab/>
          </w:r>
          <w:r>
            <w:rPr>
              <w:sz w:val="28"/>
              <w:szCs w:val="28"/>
            </w:rPr>
            <w:fldChar w:fldCharType="begin"/>
          </w:r>
          <w:r>
            <w:rPr>
              <w:sz w:val="28"/>
              <w:szCs w:val="28"/>
            </w:rPr>
            <w:instrText xml:space="preserve"> PAGEREF _Toc18398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"_Toc12475" </w:instrText>
          </w:r>
          <w:r>
            <w:fldChar w:fldCharType="separate"/>
          </w:r>
          <w:r>
            <w:rPr>
              <w:rFonts w:hAnsi="宋体"/>
              <w:spacing w:val="-4"/>
              <w:sz w:val="28"/>
              <w:szCs w:val="28"/>
            </w:rPr>
            <w:t>三、支出决算表</w:t>
          </w:r>
          <w:r>
            <w:rPr>
              <w:sz w:val="28"/>
              <w:szCs w:val="28"/>
            </w:rPr>
            <w:tab/>
          </w:r>
          <w:r>
            <w:rPr>
              <w:sz w:val="28"/>
              <w:szCs w:val="28"/>
            </w:rPr>
            <w:fldChar w:fldCharType="begin"/>
          </w:r>
          <w:r>
            <w:rPr>
              <w:sz w:val="28"/>
              <w:szCs w:val="28"/>
            </w:rPr>
            <w:instrText xml:space="preserve"> PAGEREF _Toc12475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"_Toc7242" </w:instrText>
          </w:r>
          <w:r>
            <w:fldChar w:fldCharType="separate"/>
          </w:r>
          <w:r>
            <w:rPr>
              <w:rFonts w:hAnsi="宋体"/>
              <w:spacing w:val="-4"/>
              <w:sz w:val="28"/>
              <w:szCs w:val="28"/>
            </w:rPr>
            <w:t>四、财政拨款收入支出决算总表</w:t>
          </w:r>
          <w:r>
            <w:rPr>
              <w:sz w:val="28"/>
              <w:szCs w:val="28"/>
            </w:rPr>
            <w:tab/>
          </w:r>
          <w:r>
            <w:rPr>
              <w:sz w:val="28"/>
              <w:szCs w:val="28"/>
            </w:rPr>
            <w:fldChar w:fldCharType="begin"/>
          </w:r>
          <w:r>
            <w:rPr>
              <w:sz w:val="28"/>
              <w:szCs w:val="28"/>
            </w:rPr>
            <w:instrText xml:space="preserve"> PAGEREF _Toc7242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"_Toc28566" </w:instrText>
          </w:r>
          <w:r>
            <w:fldChar w:fldCharType="separate"/>
          </w:r>
          <w:r>
            <w:rPr>
              <w:rFonts w:hAnsi="宋体"/>
              <w:spacing w:val="-4"/>
              <w:sz w:val="28"/>
              <w:szCs w:val="28"/>
            </w:rPr>
            <w:t>五、财政拨款支出决算明细表</w:t>
          </w:r>
          <w:r>
            <w:rPr>
              <w:sz w:val="28"/>
              <w:szCs w:val="28"/>
            </w:rPr>
            <w:tab/>
          </w:r>
          <w:r>
            <w:rPr>
              <w:sz w:val="28"/>
              <w:szCs w:val="28"/>
            </w:rPr>
            <w:fldChar w:fldCharType="begin"/>
          </w:r>
          <w:r>
            <w:rPr>
              <w:sz w:val="28"/>
              <w:szCs w:val="28"/>
            </w:rPr>
            <w:instrText xml:space="preserve"> PAGEREF _Toc28566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"_Toc23158" </w:instrText>
          </w:r>
          <w:r>
            <w:fldChar w:fldCharType="separate"/>
          </w:r>
          <w:r>
            <w:rPr>
              <w:rFonts w:hAnsi="宋体"/>
              <w:spacing w:val="-4"/>
              <w:sz w:val="28"/>
              <w:szCs w:val="28"/>
            </w:rPr>
            <w:t>六、一般公共预算财政拨款支出决算表</w:t>
          </w:r>
          <w:r>
            <w:rPr>
              <w:sz w:val="28"/>
              <w:szCs w:val="28"/>
            </w:rPr>
            <w:tab/>
          </w:r>
          <w:r>
            <w:rPr>
              <w:sz w:val="28"/>
              <w:szCs w:val="28"/>
            </w:rPr>
            <w:fldChar w:fldCharType="begin"/>
          </w:r>
          <w:r>
            <w:rPr>
              <w:sz w:val="28"/>
              <w:szCs w:val="28"/>
            </w:rPr>
            <w:instrText xml:space="preserve"> PAGEREF _Toc23158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"_Toc14207" </w:instrText>
          </w:r>
          <w:r>
            <w:fldChar w:fldCharType="separate"/>
          </w:r>
          <w:r>
            <w:rPr>
              <w:rFonts w:hAnsi="宋体"/>
              <w:spacing w:val="-4"/>
              <w:sz w:val="28"/>
              <w:szCs w:val="28"/>
            </w:rPr>
            <w:t>七、一般公共预算财政拨款支出决算明细表</w:t>
          </w:r>
          <w:r>
            <w:rPr>
              <w:sz w:val="28"/>
              <w:szCs w:val="28"/>
            </w:rPr>
            <w:tab/>
          </w:r>
          <w:r>
            <w:rPr>
              <w:sz w:val="28"/>
              <w:szCs w:val="28"/>
            </w:rPr>
            <w:fldChar w:fldCharType="begin"/>
          </w:r>
          <w:r>
            <w:rPr>
              <w:sz w:val="28"/>
              <w:szCs w:val="28"/>
            </w:rPr>
            <w:instrText xml:space="preserve"> PAGEREF _Toc14207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"_Toc9111" </w:instrText>
          </w:r>
          <w:r>
            <w:fldChar w:fldCharType="separate"/>
          </w:r>
          <w:r>
            <w:rPr>
              <w:rFonts w:hAnsi="宋体"/>
              <w:spacing w:val="-4"/>
              <w:sz w:val="28"/>
              <w:szCs w:val="28"/>
            </w:rPr>
            <w:t>八、一般公共预算财政拨款基本支出决算表</w:t>
          </w:r>
          <w:r>
            <w:rPr>
              <w:sz w:val="28"/>
              <w:szCs w:val="28"/>
            </w:rPr>
            <w:tab/>
          </w:r>
          <w:r>
            <w:rPr>
              <w:sz w:val="28"/>
              <w:szCs w:val="28"/>
            </w:rPr>
            <w:fldChar w:fldCharType="begin"/>
          </w:r>
          <w:r>
            <w:rPr>
              <w:sz w:val="28"/>
              <w:szCs w:val="28"/>
            </w:rPr>
            <w:instrText xml:space="preserve"> PAGEREF _Toc9111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"_Toc293" </w:instrText>
          </w:r>
          <w:r>
            <w:fldChar w:fldCharType="separate"/>
          </w:r>
          <w:r>
            <w:rPr>
              <w:rFonts w:hAnsi="宋体"/>
              <w:spacing w:val="-4"/>
              <w:sz w:val="28"/>
              <w:szCs w:val="28"/>
            </w:rPr>
            <w:t>九、一般公共预算财政拨款项目支出决算表</w:t>
          </w:r>
          <w:r>
            <w:rPr>
              <w:sz w:val="28"/>
              <w:szCs w:val="28"/>
            </w:rPr>
            <w:tab/>
          </w:r>
          <w:r>
            <w:rPr>
              <w:sz w:val="28"/>
              <w:szCs w:val="28"/>
            </w:rPr>
            <w:fldChar w:fldCharType="begin"/>
          </w:r>
          <w:r>
            <w:rPr>
              <w:sz w:val="28"/>
              <w:szCs w:val="28"/>
            </w:rPr>
            <w:instrText xml:space="preserve"> PAGEREF _Toc293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"_Toc16559" </w:instrText>
          </w:r>
          <w:r>
            <w:fldChar w:fldCharType="separate"/>
          </w:r>
          <w:r>
            <w:rPr>
              <w:rFonts w:hAnsi="宋体"/>
              <w:spacing w:val="-4"/>
              <w:sz w:val="28"/>
              <w:szCs w:val="28"/>
            </w:rPr>
            <w:t>十、政府性基金预算财政拨款收入支出决算表</w:t>
          </w:r>
          <w:r>
            <w:rPr>
              <w:sz w:val="28"/>
              <w:szCs w:val="28"/>
            </w:rPr>
            <w:tab/>
          </w:r>
          <w:r>
            <w:rPr>
              <w:sz w:val="28"/>
              <w:szCs w:val="28"/>
            </w:rPr>
            <w:fldChar w:fldCharType="begin"/>
          </w:r>
          <w:r>
            <w:rPr>
              <w:sz w:val="28"/>
              <w:szCs w:val="28"/>
            </w:rPr>
            <w:instrText xml:space="preserve"> PAGEREF _Toc16559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"_Toc97" </w:instrText>
          </w:r>
          <w:r>
            <w:fldChar w:fldCharType="separate"/>
          </w:r>
          <w:r>
            <w:rPr>
              <w:rFonts w:hAnsi="宋体"/>
              <w:spacing w:val="-4"/>
              <w:sz w:val="28"/>
              <w:szCs w:val="28"/>
            </w:rPr>
            <w:t>十一、国有资本经营预算财政拨款收入支出决算表</w:t>
          </w:r>
          <w:r>
            <w:rPr>
              <w:sz w:val="28"/>
              <w:szCs w:val="28"/>
            </w:rPr>
            <w:tab/>
          </w:r>
          <w:r>
            <w:rPr>
              <w:sz w:val="28"/>
              <w:szCs w:val="28"/>
            </w:rPr>
            <w:fldChar w:fldCharType="begin"/>
          </w:r>
          <w:r>
            <w:rPr>
              <w:sz w:val="28"/>
              <w:szCs w:val="28"/>
            </w:rPr>
            <w:instrText xml:space="preserve"> PAGEREF _Toc97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rPr>
              <w:sz w:val="28"/>
              <w:szCs w:val="28"/>
            </w:rPr>
          </w:pPr>
          <w:r>
            <w:fldChar w:fldCharType="begin"/>
          </w:r>
          <w:r>
            <w:instrText xml:space="preserve"> HYPERLINK \l "_Toc29064" </w:instrText>
          </w:r>
          <w:r>
            <w:fldChar w:fldCharType="separate"/>
          </w:r>
          <w:r>
            <w:rPr>
              <w:rFonts w:hAnsi="宋体"/>
              <w:spacing w:val="-4"/>
              <w:sz w:val="28"/>
              <w:szCs w:val="28"/>
            </w:rPr>
            <w:t>十二、国有资本经营预算财政拨款支出决算表</w:t>
          </w:r>
          <w:r>
            <w:rPr>
              <w:sz w:val="28"/>
              <w:szCs w:val="28"/>
            </w:rPr>
            <w:tab/>
          </w:r>
          <w:r>
            <w:rPr>
              <w:sz w:val="28"/>
              <w:szCs w:val="28"/>
            </w:rPr>
            <w:fldChar w:fldCharType="begin"/>
          </w:r>
          <w:r>
            <w:rPr>
              <w:sz w:val="28"/>
              <w:szCs w:val="28"/>
            </w:rPr>
            <w:instrText xml:space="preserve"> PAGEREF _Toc29064 \h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13"/>
            <w:tabs>
              <w:tab w:val="right" w:leader="dot" w:pos="8844"/>
              <w:tab w:val="clear" w:pos="8296"/>
            </w:tabs>
          </w:pPr>
          <w:r>
            <w:fldChar w:fldCharType="begin"/>
          </w:r>
          <w:r>
            <w:instrText xml:space="preserve"> HYPERLINK \l "_Toc19404" </w:instrText>
          </w:r>
          <w:r>
            <w:fldChar w:fldCharType="separate"/>
          </w:r>
          <w:r>
            <w:rPr>
              <w:rFonts w:hAnsi="宋体"/>
              <w:spacing w:val="-4"/>
              <w:sz w:val="28"/>
              <w:szCs w:val="28"/>
            </w:rPr>
            <w:t>十三、财政拨款</w:t>
          </w:r>
          <w:r>
            <w:rPr>
              <w:spacing w:val="-4"/>
              <w:sz w:val="28"/>
              <w:szCs w:val="28"/>
            </w:rPr>
            <w:t>“</w:t>
          </w:r>
          <w:r>
            <w:rPr>
              <w:rFonts w:hAnsi="宋体"/>
              <w:spacing w:val="-4"/>
              <w:sz w:val="28"/>
              <w:szCs w:val="28"/>
            </w:rPr>
            <w:t>三公</w:t>
          </w:r>
          <w:r>
            <w:rPr>
              <w:spacing w:val="-4"/>
              <w:sz w:val="28"/>
              <w:szCs w:val="28"/>
            </w:rPr>
            <w:t>”</w:t>
          </w:r>
          <w:r>
            <w:rPr>
              <w:rFonts w:hAnsi="宋体"/>
              <w:spacing w:val="-4"/>
              <w:sz w:val="28"/>
              <w:szCs w:val="28"/>
            </w:rPr>
            <w:t>经费支出决算表</w:t>
          </w:r>
          <w:r>
            <w:rPr>
              <w:sz w:val="28"/>
              <w:szCs w:val="28"/>
            </w:rPr>
            <w:tab/>
          </w:r>
          <w:r>
            <w:rPr>
              <w:sz w:val="28"/>
              <w:szCs w:val="28"/>
            </w:rPr>
            <w:fldChar w:fldCharType="begin"/>
          </w:r>
          <w:r>
            <w:rPr>
              <w:sz w:val="28"/>
              <w:szCs w:val="28"/>
            </w:rPr>
            <w:instrText xml:space="preserve"> PAGEREF _Toc19404 \h </w:instrText>
          </w:r>
          <w:r>
            <w:rPr>
              <w:sz w:val="28"/>
              <w:szCs w:val="28"/>
            </w:rPr>
            <w:fldChar w:fldCharType="separate"/>
          </w:r>
          <w:r>
            <w:rPr>
              <w:sz w:val="28"/>
              <w:szCs w:val="28"/>
            </w:rPr>
            <w:t>14</w:t>
          </w:r>
          <w:r>
            <w:rPr>
              <w:sz w:val="28"/>
              <w:szCs w:val="28"/>
            </w:rPr>
            <w:fldChar w:fldCharType="end"/>
          </w:r>
          <w:r>
            <w:rPr>
              <w:sz w:val="28"/>
              <w:szCs w:val="28"/>
            </w:rPr>
            <w:fldChar w:fldCharType="end"/>
          </w:r>
        </w:p>
        <w:p>
          <w:pPr>
            <w:spacing w:line="560" w:lineRule="exact"/>
            <w:rPr>
              <w:spacing w:val="-4"/>
              <w:sz w:val="33"/>
              <w:szCs w:val="33"/>
            </w:rPr>
          </w:pPr>
          <w:r>
            <w:rPr>
              <w:spacing w:val="-4"/>
              <w:szCs w:val="33"/>
            </w:rPr>
            <w:fldChar w:fldCharType="end"/>
          </w:r>
        </w:p>
      </w:sdtContent>
    </w:sdt>
    <w:p>
      <w:pPr>
        <w:pStyle w:val="3"/>
        <w:spacing w:line="560" w:lineRule="exact"/>
        <w:jc w:val="center"/>
        <w:rPr>
          <w:rFonts w:hAnsi="宋体"/>
          <w:b w:val="0"/>
          <w:spacing w:val="-4"/>
          <w:szCs w:val="33"/>
        </w:rPr>
        <w:sectPr>
          <w:footerReference r:id="rId8" w:type="default"/>
          <w:pgSz w:w="11906" w:h="16838"/>
          <w:pgMar w:top="2098" w:right="1474" w:bottom="1985" w:left="1588" w:header="851" w:footer="992" w:gutter="0"/>
          <w:pgNumType w:fmt="decimal" w:start="1"/>
          <w:cols w:space="425" w:num="1"/>
          <w:docGrid w:type="lines" w:linePitch="312" w:charSpace="0"/>
        </w:sectPr>
      </w:pPr>
      <w:bookmarkStart w:id="12" w:name="_Toc15396599"/>
      <w:bookmarkStart w:id="13" w:name="_Toc15377196"/>
      <w:bookmarkStart w:id="14" w:name="_Toc407"/>
    </w:p>
    <w:p>
      <w:pPr>
        <w:pStyle w:val="3"/>
        <w:spacing w:line="560" w:lineRule="exact"/>
        <w:jc w:val="center"/>
        <w:rPr>
          <w:bCs w:val="0"/>
          <w:spacing w:val="-4"/>
          <w:szCs w:val="33"/>
        </w:rPr>
      </w:pPr>
      <w:r>
        <w:rPr>
          <w:rFonts w:hAnsi="宋体"/>
          <w:b w:val="0"/>
          <w:spacing w:val="-4"/>
          <w:szCs w:val="33"/>
        </w:rPr>
        <w:t>第一部分</w:t>
      </w:r>
      <w:r>
        <w:rPr>
          <w:rStyle w:val="29"/>
          <w:rFonts w:hAnsi="宋体"/>
          <w:b w:val="0"/>
          <w:bCs w:val="0"/>
          <w:spacing w:val="-4"/>
          <w:szCs w:val="33"/>
        </w:rPr>
        <w:t>单位概况</w:t>
      </w:r>
      <w:bookmarkEnd w:id="12"/>
      <w:bookmarkEnd w:id="13"/>
      <w:bookmarkEnd w:id="14"/>
    </w:p>
    <w:p>
      <w:pPr>
        <w:pStyle w:val="4"/>
        <w:spacing w:before="0" w:after="0" w:line="560" w:lineRule="exact"/>
        <w:ind w:firstLine="624" w:firstLineChars="200"/>
        <w:rPr>
          <w:rFonts w:ascii="Times New Roman" w:hAnsi="Times New Roman" w:eastAsia="宋体" w:cs="Times New Roman"/>
          <w:b w:val="0"/>
          <w:spacing w:val="-4"/>
        </w:rPr>
      </w:pPr>
      <w:bookmarkStart w:id="15" w:name="_Toc24968"/>
      <w:r>
        <w:rPr>
          <w:rFonts w:ascii="Times New Roman" w:hAnsi="宋体" w:eastAsia="宋体" w:cs="Times New Roman"/>
          <w:b w:val="0"/>
          <w:spacing w:val="-4"/>
        </w:rPr>
        <w:t>一、单位职责</w:t>
      </w:r>
      <w:bookmarkEnd w:id="15"/>
    </w:p>
    <w:p>
      <w:pPr>
        <w:ind w:firstLine="800" w:firstLineChars="250"/>
      </w:pPr>
      <w:r>
        <w:rPr>
          <w:rFonts w:hAnsi="宋体"/>
          <w:sz w:val="32"/>
          <w:szCs w:val="32"/>
        </w:rPr>
        <w:t>攀枝花市水土保持生态环境监测分站主要职责是：负责全市水土流失的监测与监控工作，并承担开发建设项目水土流失监测工作。</w:t>
      </w:r>
    </w:p>
    <w:p>
      <w:pPr>
        <w:pStyle w:val="4"/>
        <w:spacing w:before="0" w:after="0" w:line="560" w:lineRule="exact"/>
        <w:ind w:firstLine="624" w:firstLineChars="200"/>
        <w:rPr>
          <w:rFonts w:ascii="Times New Roman" w:hAnsi="Times New Roman" w:eastAsia="宋体" w:cs="Times New Roman"/>
          <w:b w:val="0"/>
          <w:spacing w:val="-4"/>
        </w:rPr>
      </w:pPr>
      <w:bookmarkStart w:id="16" w:name="_Toc15377200"/>
      <w:bookmarkStart w:id="17" w:name="_Toc15396601"/>
      <w:bookmarkStart w:id="18" w:name="_Toc25820"/>
      <w:r>
        <w:rPr>
          <w:rFonts w:ascii="Times New Roman" w:hAnsi="宋体" w:eastAsia="宋体" w:cs="Times New Roman"/>
          <w:b w:val="0"/>
          <w:spacing w:val="-4"/>
        </w:rPr>
        <w:t>二、机构设置</w:t>
      </w:r>
      <w:bookmarkEnd w:id="16"/>
      <w:bookmarkEnd w:id="17"/>
      <w:bookmarkEnd w:id="18"/>
    </w:p>
    <w:p>
      <w:pPr>
        <w:widowControl/>
        <w:ind w:firstLine="640" w:firstLineChars="200"/>
        <w:jc w:val="left"/>
        <w:rPr>
          <w:spacing w:val="-4"/>
          <w:sz w:val="32"/>
          <w:szCs w:val="32"/>
        </w:rPr>
      </w:pPr>
      <w:bookmarkStart w:id="19" w:name="_Toc144319760"/>
      <w:bookmarkStart w:id="20" w:name="_Toc144319711"/>
      <w:bookmarkStart w:id="21" w:name="_Toc9814"/>
      <w:bookmarkStart w:id="22" w:name="_Toc15396602"/>
      <w:bookmarkStart w:id="23" w:name="_Toc15377204"/>
      <w:r>
        <w:rPr>
          <w:rFonts w:hAnsi="宋体"/>
          <w:sz w:val="32"/>
          <w:szCs w:val="32"/>
        </w:rPr>
        <w:t>攀枝花市水土保持生态环境监测分站隶属攀枝花市水利局，是攀枝花市水利局下属二级事业单位。</w:t>
      </w:r>
      <w:bookmarkEnd w:id="19"/>
      <w:bookmarkEnd w:id="20"/>
      <w:r>
        <w:rPr>
          <w:b/>
          <w:bCs/>
          <w:spacing w:val="-4"/>
          <w:sz w:val="32"/>
          <w:szCs w:val="32"/>
        </w:rPr>
        <w:br w:type="page"/>
      </w:r>
    </w:p>
    <w:p>
      <w:pPr>
        <w:pStyle w:val="3"/>
        <w:spacing w:line="560" w:lineRule="exact"/>
        <w:ind w:right="442"/>
        <w:jc w:val="center"/>
        <w:rPr>
          <w:b w:val="0"/>
          <w:spacing w:val="-4"/>
          <w:szCs w:val="33"/>
        </w:rPr>
      </w:pPr>
      <w:r>
        <w:rPr>
          <w:rFonts w:hAnsi="宋体"/>
          <w:b w:val="0"/>
          <w:spacing w:val="-4"/>
          <w:szCs w:val="33"/>
        </w:rPr>
        <w:t>第二部分</w:t>
      </w:r>
      <w:r>
        <w:rPr>
          <w:b w:val="0"/>
          <w:spacing w:val="-4"/>
          <w:szCs w:val="33"/>
        </w:rPr>
        <w:t xml:space="preserve"> 2025</w:t>
      </w:r>
      <w:r>
        <w:rPr>
          <w:rFonts w:hAnsi="宋体"/>
          <w:b w:val="0"/>
          <w:spacing w:val="-4"/>
          <w:szCs w:val="33"/>
        </w:rPr>
        <w:t>年度</w:t>
      </w:r>
      <w:r>
        <w:rPr>
          <w:rStyle w:val="29"/>
          <w:rFonts w:hAnsi="宋体"/>
          <w:b w:val="0"/>
          <w:bCs/>
          <w:spacing w:val="-4"/>
          <w:szCs w:val="33"/>
        </w:rPr>
        <w:t>部门决算情况说明</w:t>
      </w:r>
      <w:bookmarkEnd w:id="21"/>
      <w:bookmarkEnd w:id="22"/>
      <w:bookmarkEnd w:id="23"/>
    </w:p>
    <w:p>
      <w:pPr>
        <w:pStyle w:val="4"/>
        <w:spacing w:before="0" w:after="0" w:line="560" w:lineRule="exact"/>
        <w:ind w:firstLine="624" w:firstLineChars="200"/>
        <w:rPr>
          <w:rFonts w:ascii="Times New Roman" w:hAnsi="Times New Roman" w:eastAsia="宋体" w:cs="Times New Roman"/>
          <w:b w:val="0"/>
          <w:spacing w:val="-4"/>
        </w:rPr>
      </w:pPr>
      <w:bookmarkStart w:id="24" w:name="_Toc15396603"/>
      <w:bookmarkStart w:id="25" w:name="_Toc8374"/>
      <w:bookmarkStart w:id="26" w:name="_Toc15377205"/>
      <w:r>
        <w:rPr>
          <w:rFonts w:ascii="Times New Roman" w:hAnsi="宋体" w:eastAsia="宋体" w:cs="Times New Roman"/>
          <w:b w:val="0"/>
          <w:spacing w:val="-4"/>
        </w:rPr>
        <w:t>一、收入支出决算总体情况说明</w:t>
      </w:r>
      <w:bookmarkEnd w:id="24"/>
      <w:bookmarkEnd w:id="25"/>
      <w:bookmarkEnd w:id="26"/>
    </w:p>
    <w:p>
      <w:pPr>
        <w:spacing w:line="560" w:lineRule="exact"/>
        <w:ind w:firstLine="624" w:firstLineChars="200"/>
        <w:rPr>
          <w:spacing w:val="-4"/>
          <w:sz w:val="32"/>
          <w:szCs w:val="32"/>
        </w:rPr>
      </w:pPr>
      <w:r>
        <w:rPr>
          <w:spacing w:val="-4"/>
          <w:sz w:val="32"/>
          <w:szCs w:val="32"/>
        </w:rPr>
        <w:t>2025</w:t>
      </w:r>
      <w:r>
        <w:rPr>
          <w:rFonts w:hAnsi="宋体"/>
          <w:spacing w:val="-4"/>
          <w:sz w:val="32"/>
          <w:szCs w:val="32"/>
        </w:rPr>
        <w:t>年度收、支总计</w:t>
      </w:r>
      <w:r>
        <w:rPr>
          <w:spacing w:val="-4"/>
          <w:sz w:val="32"/>
          <w:szCs w:val="32"/>
        </w:rPr>
        <w:t>166.43</w:t>
      </w:r>
      <w:r>
        <w:rPr>
          <w:rFonts w:hAnsi="宋体"/>
          <w:spacing w:val="-4"/>
          <w:sz w:val="32"/>
          <w:szCs w:val="32"/>
        </w:rPr>
        <w:t>万元。与</w:t>
      </w:r>
      <w:r>
        <w:rPr>
          <w:spacing w:val="-4"/>
          <w:sz w:val="32"/>
          <w:szCs w:val="32"/>
        </w:rPr>
        <w:t>2024</w:t>
      </w:r>
      <w:r>
        <w:rPr>
          <w:rFonts w:hAnsi="宋体"/>
          <w:spacing w:val="-4"/>
          <w:sz w:val="32"/>
          <w:szCs w:val="32"/>
        </w:rPr>
        <w:t>年度相比，收入、支出总计各减少</w:t>
      </w:r>
      <w:r>
        <w:rPr>
          <w:spacing w:val="-4"/>
          <w:sz w:val="32"/>
          <w:szCs w:val="32"/>
        </w:rPr>
        <w:t>11.75</w:t>
      </w:r>
      <w:r>
        <w:rPr>
          <w:rFonts w:hAnsi="宋体"/>
          <w:spacing w:val="-4"/>
          <w:sz w:val="32"/>
          <w:szCs w:val="32"/>
        </w:rPr>
        <w:t>万元，下降</w:t>
      </w:r>
      <w:r>
        <w:rPr>
          <w:spacing w:val="-4"/>
          <w:sz w:val="32"/>
          <w:szCs w:val="32"/>
        </w:rPr>
        <w:t>6.59%</w:t>
      </w:r>
      <w:r>
        <w:rPr>
          <w:rFonts w:hAnsi="宋体"/>
          <w:spacing w:val="-4"/>
          <w:sz w:val="32"/>
          <w:szCs w:val="32"/>
        </w:rPr>
        <w:t>。主要变动原因是本年人员减少，项目减少，导致收入、支出减少。</w:t>
      </w:r>
    </w:p>
    <w:p>
      <w:pPr>
        <w:pStyle w:val="4"/>
        <w:spacing w:before="0" w:after="0" w:line="560" w:lineRule="exact"/>
        <w:ind w:firstLine="624" w:firstLineChars="200"/>
        <w:rPr>
          <w:rFonts w:ascii="Times New Roman" w:hAnsi="Times New Roman" w:eastAsia="宋体" w:cs="Times New Roman"/>
          <w:b w:val="0"/>
          <w:spacing w:val="-4"/>
        </w:rPr>
      </w:pPr>
      <w:bookmarkStart w:id="27" w:name="_Toc15396604"/>
      <w:bookmarkStart w:id="28" w:name="_Toc15377206"/>
      <w:bookmarkStart w:id="29" w:name="_Toc20895"/>
      <w:r>
        <w:rPr>
          <w:rFonts w:ascii="Times New Roman" w:hAnsi="Times New Roman" w:eastAsia="宋体" w:cs="Times New Roman"/>
          <w:b w:val="0"/>
          <w:spacing w:val="-4"/>
        </w:rPr>
        <w:drawing>
          <wp:anchor distT="0" distB="0" distL="114300" distR="114300" simplePos="0" relativeHeight="251659264" behindDoc="0" locked="0" layoutInCell="1" allowOverlap="1">
            <wp:simplePos x="0" y="0"/>
            <wp:positionH relativeFrom="column">
              <wp:posOffset>82550</wp:posOffset>
            </wp:positionH>
            <wp:positionV relativeFrom="paragraph">
              <wp:posOffset>7620</wp:posOffset>
            </wp:positionV>
            <wp:extent cx="5099050" cy="1978660"/>
            <wp:effectExtent l="0" t="0" r="0" b="0"/>
            <wp:wrapTopAndBottom/>
            <wp:docPr id="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Times New Roman" w:hAnsi="宋体" w:eastAsia="宋体" w:cs="Times New Roman"/>
          <w:b w:val="0"/>
          <w:spacing w:val="-4"/>
        </w:rPr>
        <w:t>二、收入决算情况说明</w:t>
      </w:r>
      <w:bookmarkEnd w:id="27"/>
      <w:bookmarkEnd w:id="28"/>
      <w:bookmarkEnd w:id="29"/>
    </w:p>
    <w:p>
      <w:pPr>
        <w:ind w:firstLine="624" w:firstLineChars="200"/>
        <w:rPr>
          <w:spacing w:val="-4"/>
          <w:sz w:val="33"/>
          <w:szCs w:val="33"/>
        </w:rPr>
      </w:pPr>
      <w:r>
        <w:rPr>
          <w:spacing w:val="-4"/>
          <w:sz w:val="32"/>
          <w:szCs w:val="32"/>
        </w:rPr>
        <w:t>2025</w:t>
      </w:r>
      <w:r>
        <w:rPr>
          <w:rFonts w:hAnsi="宋体"/>
          <w:spacing w:val="-4"/>
          <w:sz w:val="32"/>
          <w:szCs w:val="32"/>
        </w:rPr>
        <w:t>年度本年收入合计</w:t>
      </w:r>
      <w:r>
        <w:rPr>
          <w:spacing w:val="-4"/>
          <w:sz w:val="32"/>
          <w:szCs w:val="32"/>
        </w:rPr>
        <w:t>166.43</w:t>
      </w:r>
      <w:r>
        <w:rPr>
          <w:rFonts w:hAnsi="宋体"/>
          <w:spacing w:val="-4"/>
          <w:sz w:val="32"/>
          <w:szCs w:val="32"/>
        </w:rPr>
        <w:t>万元，其中：一般公共预算财政拨款收入</w:t>
      </w:r>
      <w:r>
        <w:rPr>
          <w:spacing w:val="-4"/>
          <w:sz w:val="32"/>
          <w:szCs w:val="32"/>
        </w:rPr>
        <w:t>165.43</w:t>
      </w:r>
      <w:r>
        <w:rPr>
          <w:rFonts w:hAnsi="宋体"/>
          <w:spacing w:val="-4"/>
          <w:sz w:val="32"/>
          <w:szCs w:val="32"/>
        </w:rPr>
        <w:t>万元，占</w:t>
      </w:r>
      <w:r>
        <w:rPr>
          <w:spacing w:val="-4"/>
          <w:sz w:val="32"/>
          <w:szCs w:val="32"/>
        </w:rPr>
        <w:t>99.4%</w:t>
      </w:r>
      <w:r>
        <w:rPr>
          <w:rFonts w:hAnsi="宋体"/>
          <w:spacing w:val="-4"/>
          <w:sz w:val="32"/>
          <w:szCs w:val="32"/>
        </w:rPr>
        <w:t>；政府性基金预算财政拨款收入</w:t>
      </w:r>
      <w:r>
        <w:rPr>
          <w:spacing w:val="-4"/>
          <w:sz w:val="32"/>
          <w:szCs w:val="32"/>
        </w:rPr>
        <w:t>1</w:t>
      </w:r>
      <w:r>
        <w:rPr>
          <w:rFonts w:hAnsi="宋体"/>
          <w:spacing w:val="-4"/>
          <w:sz w:val="32"/>
          <w:szCs w:val="32"/>
        </w:rPr>
        <w:t>万元，占</w:t>
      </w:r>
      <w:r>
        <w:rPr>
          <w:spacing w:val="-4"/>
          <w:sz w:val="32"/>
          <w:szCs w:val="32"/>
        </w:rPr>
        <w:t>0.6%</w:t>
      </w:r>
      <w:r>
        <w:rPr>
          <w:rFonts w:hAnsi="宋体"/>
          <w:spacing w:val="-4"/>
          <w:sz w:val="32"/>
          <w:szCs w:val="32"/>
        </w:rPr>
        <w:t>；国有资本经营预算财政拨款收入、上级补助收入、事业收入、经营收入、附属单位上缴收入、其他收入均为</w:t>
      </w:r>
      <w:r>
        <w:rPr>
          <w:spacing w:val="-4"/>
          <w:sz w:val="32"/>
          <w:szCs w:val="32"/>
        </w:rPr>
        <w:t>0</w:t>
      </w:r>
      <w:r>
        <w:rPr>
          <w:rFonts w:hAnsi="宋体"/>
          <w:spacing w:val="-4"/>
          <w:sz w:val="32"/>
          <w:szCs w:val="32"/>
        </w:rPr>
        <w:t>万元。</w:t>
      </w:r>
    </w:p>
    <w:p>
      <w:pPr>
        <w:pStyle w:val="2"/>
        <w:spacing w:beforeLines="0"/>
        <w:rPr>
          <w:rFonts w:ascii="Times New Roman" w:eastAsia="宋体"/>
          <w:spacing w:val="-4"/>
          <w:sz w:val="33"/>
          <w:szCs w:val="33"/>
        </w:rPr>
      </w:pPr>
      <w:r>
        <w:rPr>
          <w:rFonts w:ascii="Times New Roman" w:eastAsia="宋体"/>
          <w:spacing w:val="-4"/>
          <w:sz w:val="33"/>
          <w:szCs w:val="33"/>
        </w:rPr>
        <w:drawing>
          <wp:anchor distT="0" distB="0" distL="114300" distR="114300" simplePos="0" relativeHeight="251662336" behindDoc="0" locked="0" layoutInCell="1" allowOverlap="1">
            <wp:simplePos x="0" y="0"/>
            <wp:positionH relativeFrom="column">
              <wp:posOffset>620395</wp:posOffset>
            </wp:positionH>
            <wp:positionV relativeFrom="paragraph">
              <wp:posOffset>60325</wp:posOffset>
            </wp:positionV>
            <wp:extent cx="4315460" cy="1895475"/>
            <wp:effectExtent l="19050" t="0" r="27940" b="0"/>
            <wp:wrapSquare wrapText="bothSides"/>
            <wp:docPr id="11"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pStyle w:val="2"/>
        <w:spacing w:before="93" w:line="560" w:lineRule="exact"/>
        <w:ind w:firstLine="626" w:firstLineChars="200"/>
        <w:outlineLvl w:val="1"/>
        <w:rPr>
          <w:rStyle w:val="30"/>
          <w:rFonts w:ascii="Times New Roman" w:hAnsi="Times New Roman" w:eastAsia="宋体" w:cs="Times New Roman"/>
          <w:b w:val="0"/>
          <w:bCs w:val="0"/>
          <w:spacing w:val="-4"/>
          <w:kern w:val="0"/>
        </w:rPr>
      </w:pPr>
      <w:bookmarkStart w:id="30" w:name="_Toc15396605"/>
      <w:bookmarkStart w:id="31" w:name="_Toc2421"/>
      <w:bookmarkStart w:id="32" w:name="_Toc15377207"/>
      <w:r>
        <w:rPr>
          <w:rStyle w:val="30"/>
          <w:rFonts w:ascii="Times New Roman" w:hAnsi="宋体" w:eastAsia="宋体" w:cs="Times New Roman"/>
          <w:spacing w:val="-4"/>
        </w:rPr>
        <w:t>三、</w:t>
      </w:r>
      <w:r>
        <w:rPr>
          <w:rFonts w:ascii="Times New Roman" w:hAnsi="宋体" w:eastAsia="宋体"/>
          <w:spacing w:val="-4"/>
          <w:sz w:val="32"/>
          <w:szCs w:val="32"/>
        </w:rPr>
        <w:t>支</w:t>
      </w:r>
      <w:r>
        <w:rPr>
          <w:rStyle w:val="30"/>
          <w:rFonts w:ascii="Times New Roman" w:hAnsi="宋体" w:eastAsia="宋体" w:cs="Times New Roman"/>
          <w:b w:val="0"/>
          <w:spacing w:val="-4"/>
        </w:rPr>
        <w:t>出决算情况说明</w:t>
      </w:r>
      <w:bookmarkEnd w:id="30"/>
      <w:bookmarkEnd w:id="31"/>
      <w:bookmarkEnd w:id="32"/>
    </w:p>
    <w:p>
      <w:pPr>
        <w:spacing w:line="560" w:lineRule="exact"/>
        <w:ind w:firstLine="624" w:firstLineChars="200"/>
        <w:rPr>
          <w:spacing w:val="-4"/>
          <w:sz w:val="32"/>
          <w:szCs w:val="32"/>
        </w:rPr>
      </w:pPr>
      <w:r>
        <w:rPr>
          <w:spacing w:val="-4"/>
          <w:sz w:val="32"/>
          <w:szCs w:val="32"/>
        </w:rPr>
        <w:t>2025</w:t>
      </w:r>
      <w:r>
        <w:rPr>
          <w:rFonts w:hAnsi="宋体"/>
          <w:spacing w:val="-4"/>
          <w:sz w:val="32"/>
          <w:szCs w:val="32"/>
        </w:rPr>
        <w:t>年度本年支出合计</w:t>
      </w:r>
      <w:r>
        <w:rPr>
          <w:spacing w:val="-4"/>
          <w:sz w:val="32"/>
          <w:szCs w:val="32"/>
        </w:rPr>
        <w:t>166.43</w:t>
      </w:r>
      <w:r>
        <w:rPr>
          <w:rFonts w:hAnsi="宋体"/>
          <w:spacing w:val="-4"/>
          <w:sz w:val="32"/>
          <w:szCs w:val="32"/>
        </w:rPr>
        <w:t>万元，其中：基本支出</w:t>
      </w:r>
      <w:r>
        <w:rPr>
          <w:spacing w:val="-4"/>
          <w:sz w:val="32"/>
          <w:szCs w:val="32"/>
        </w:rPr>
        <w:t>146.69</w:t>
      </w:r>
      <w:r>
        <w:rPr>
          <w:rFonts w:hAnsi="宋体"/>
          <w:spacing w:val="-4"/>
          <w:sz w:val="32"/>
          <w:szCs w:val="32"/>
        </w:rPr>
        <w:t>万元，占</w:t>
      </w:r>
      <w:r>
        <w:rPr>
          <w:spacing w:val="-4"/>
          <w:sz w:val="32"/>
          <w:szCs w:val="32"/>
        </w:rPr>
        <w:t>88.14%</w:t>
      </w:r>
      <w:r>
        <w:rPr>
          <w:rFonts w:hAnsi="宋体"/>
          <w:spacing w:val="-4"/>
          <w:sz w:val="32"/>
          <w:szCs w:val="32"/>
        </w:rPr>
        <w:t>；项目支出</w:t>
      </w:r>
      <w:r>
        <w:rPr>
          <w:spacing w:val="-4"/>
          <w:sz w:val="32"/>
          <w:szCs w:val="32"/>
        </w:rPr>
        <w:t>19.74</w:t>
      </w:r>
      <w:r>
        <w:rPr>
          <w:rFonts w:hAnsi="宋体"/>
          <w:spacing w:val="-4"/>
          <w:sz w:val="32"/>
          <w:szCs w:val="32"/>
        </w:rPr>
        <w:t>万元，占</w:t>
      </w:r>
      <w:r>
        <w:rPr>
          <w:spacing w:val="-4"/>
          <w:sz w:val="32"/>
          <w:szCs w:val="32"/>
        </w:rPr>
        <w:t>11.86%</w:t>
      </w:r>
      <w:r>
        <w:rPr>
          <w:rFonts w:hAnsi="宋体"/>
          <w:spacing w:val="-4"/>
          <w:sz w:val="32"/>
          <w:szCs w:val="32"/>
        </w:rPr>
        <w:t>；上缴上级支出、经营支出、对附属单位补助支出均为</w:t>
      </w:r>
      <w:r>
        <w:rPr>
          <w:spacing w:val="-4"/>
          <w:sz w:val="32"/>
          <w:szCs w:val="32"/>
        </w:rPr>
        <w:t>0</w:t>
      </w:r>
      <w:r>
        <w:rPr>
          <w:rFonts w:hAnsi="宋体"/>
          <w:spacing w:val="-4"/>
          <w:sz w:val="32"/>
          <w:szCs w:val="32"/>
        </w:rPr>
        <w:t>万元。</w:t>
      </w:r>
    </w:p>
    <w:p>
      <w:pPr>
        <w:spacing w:line="560" w:lineRule="exact"/>
        <w:ind w:firstLine="613" w:firstLineChars="196"/>
        <w:outlineLvl w:val="1"/>
        <w:rPr>
          <w:rStyle w:val="30"/>
          <w:rFonts w:ascii="Times New Roman" w:hAnsi="Times New Roman" w:eastAsia="宋体" w:cs="Times New Roman"/>
          <w:b w:val="0"/>
          <w:spacing w:val="-4"/>
        </w:rPr>
      </w:pPr>
      <w:bookmarkStart w:id="33" w:name="_Toc16950"/>
      <w:r>
        <w:rPr>
          <w:b/>
          <w:spacing w:val="-4"/>
          <w:sz w:val="32"/>
          <w:szCs w:val="32"/>
        </w:rPr>
        <w:drawing>
          <wp:anchor distT="0" distB="0" distL="114300" distR="114300" simplePos="0" relativeHeight="251660288" behindDoc="0" locked="0" layoutInCell="1" allowOverlap="1">
            <wp:simplePos x="0" y="0"/>
            <wp:positionH relativeFrom="column">
              <wp:posOffset>457835</wp:posOffset>
            </wp:positionH>
            <wp:positionV relativeFrom="paragraph">
              <wp:posOffset>274320</wp:posOffset>
            </wp:positionV>
            <wp:extent cx="4157980" cy="2258060"/>
            <wp:effectExtent l="19050" t="0" r="13970" b="8890"/>
            <wp:wrapTopAndBottom/>
            <wp:docPr id="31" name="图表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bookmarkStart w:id="34" w:name="_Toc15396606"/>
      <w:bookmarkStart w:id="35" w:name="_Toc15377208"/>
      <w:r>
        <w:rPr>
          <w:rFonts w:hAnsi="宋体"/>
          <w:spacing w:val="-4"/>
          <w:sz w:val="32"/>
          <w:szCs w:val="32"/>
        </w:rPr>
        <w:t>四、财</w:t>
      </w:r>
      <w:r>
        <w:rPr>
          <w:rStyle w:val="30"/>
          <w:rFonts w:ascii="Times New Roman" w:hAnsi="宋体" w:eastAsia="宋体" w:cs="Times New Roman"/>
          <w:b w:val="0"/>
          <w:spacing w:val="-4"/>
        </w:rPr>
        <w:t>政拨款收入支出决算总体情况说明</w:t>
      </w:r>
      <w:bookmarkEnd w:id="33"/>
      <w:bookmarkEnd w:id="34"/>
      <w:bookmarkEnd w:id="35"/>
    </w:p>
    <w:p>
      <w:pPr>
        <w:spacing w:line="560" w:lineRule="exact"/>
        <w:ind w:firstLine="624" w:firstLineChars="200"/>
        <w:rPr>
          <w:spacing w:val="-4"/>
          <w:sz w:val="32"/>
          <w:szCs w:val="32"/>
        </w:rPr>
      </w:pPr>
      <w:r>
        <w:rPr>
          <w:spacing w:val="-4"/>
          <w:sz w:val="32"/>
          <w:szCs w:val="32"/>
        </w:rPr>
        <w:drawing>
          <wp:anchor distT="0" distB="0" distL="114300" distR="114300" simplePos="0" relativeHeight="251663360" behindDoc="0" locked="0" layoutInCell="1" allowOverlap="1">
            <wp:simplePos x="0" y="0"/>
            <wp:positionH relativeFrom="column">
              <wp:posOffset>215265</wp:posOffset>
            </wp:positionH>
            <wp:positionV relativeFrom="paragraph">
              <wp:posOffset>1263015</wp:posOffset>
            </wp:positionV>
            <wp:extent cx="5099050" cy="1981835"/>
            <wp:effectExtent l="0" t="0" r="0" b="0"/>
            <wp:wrapTopAndBottom/>
            <wp:docPr id="1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spacing w:val="-4"/>
          <w:sz w:val="32"/>
          <w:szCs w:val="32"/>
        </w:rPr>
        <w:t>2025</w:t>
      </w:r>
      <w:r>
        <w:rPr>
          <w:rFonts w:hAnsi="宋体"/>
          <w:spacing w:val="-4"/>
          <w:sz w:val="32"/>
          <w:szCs w:val="32"/>
        </w:rPr>
        <w:t>年度财政拨款收入、支出总计</w:t>
      </w:r>
      <w:r>
        <w:rPr>
          <w:spacing w:val="-4"/>
          <w:sz w:val="32"/>
          <w:szCs w:val="32"/>
        </w:rPr>
        <w:t>166.43</w:t>
      </w:r>
      <w:r>
        <w:rPr>
          <w:rFonts w:hAnsi="宋体"/>
          <w:spacing w:val="-4"/>
          <w:sz w:val="32"/>
          <w:szCs w:val="32"/>
        </w:rPr>
        <w:t>万元。与</w:t>
      </w:r>
      <w:r>
        <w:rPr>
          <w:spacing w:val="-4"/>
          <w:sz w:val="32"/>
          <w:szCs w:val="32"/>
        </w:rPr>
        <w:t>2024</w:t>
      </w:r>
      <w:r>
        <w:rPr>
          <w:rFonts w:hAnsi="宋体"/>
          <w:spacing w:val="-4"/>
          <w:sz w:val="32"/>
          <w:szCs w:val="32"/>
        </w:rPr>
        <w:t>年度相比，财政拨款收、支总计</w:t>
      </w:r>
      <w:bookmarkStart w:id="36" w:name="_Toc15396607"/>
      <w:bookmarkStart w:id="37" w:name="_Toc15377209"/>
      <w:r>
        <w:rPr>
          <w:rFonts w:hAnsi="宋体"/>
          <w:spacing w:val="-4"/>
          <w:sz w:val="32"/>
          <w:szCs w:val="32"/>
        </w:rPr>
        <w:t>各减少</w:t>
      </w:r>
      <w:r>
        <w:rPr>
          <w:spacing w:val="-4"/>
          <w:sz w:val="32"/>
          <w:szCs w:val="32"/>
        </w:rPr>
        <w:t>11.75</w:t>
      </w:r>
      <w:r>
        <w:rPr>
          <w:rFonts w:hAnsi="宋体"/>
          <w:spacing w:val="-4"/>
          <w:sz w:val="32"/>
          <w:szCs w:val="32"/>
        </w:rPr>
        <w:t>万元，下降</w:t>
      </w:r>
      <w:r>
        <w:rPr>
          <w:spacing w:val="-4"/>
          <w:sz w:val="32"/>
          <w:szCs w:val="32"/>
        </w:rPr>
        <w:t>6.59%</w:t>
      </w:r>
      <w:r>
        <w:rPr>
          <w:rFonts w:hAnsi="宋体"/>
          <w:spacing w:val="-4"/>
          <w:sz w:val="32"/>
          <w:szCs w:val="32"/>
        </w:rPr>
        <w:t>。主要变动原因是本年人员减少，项目减少，导致收入、支出减少。</w:t>
      </w:r>
    </w:p>
    <w:p>
      <w:pPr>
        <w:spacing w:line="560" w:lineRule="exact"/>
        <w:ind w:firstLine="644" w:firstLineChars="200"/>
        <w:outlineLvl w:val="1"/>
        <w:rPr>
          <w:spacing w:val="-4"/>
          <w:sz w:val="33"/>
          <w:szCs w:val="33"/>
        </w:rPr>
      </w:pPr>
    </w:p>
    <w:p>
      <w:pPr>
        <w:spacing w:line="560" w:lineRule="exact"/>
        <w:ind w:firstLine="624" w:firstLineChars="200"/>
        <w:outlineLvl w:val="1"/>
        <w:rPr>
          <w:rStyle w:val="30"/>
          <w:rFonts w:ascii="Times New Roman" w:hAnsi="Times New Roman" w:eastAsia="宋体" w:cs="Times New Roman"/>
          <w:b w:val="0"/>
          <w:spacing w:val="-4"/>
        </w:rPr>
      </w:pPr>
      <w:bookmarkStart w:id="38" w:name="_Toc30555"/>
      <w:r>
        <w:rPr>
          <w:rFonts w:hAnsi="宋体"/>
          <w:spacing w:val="-4"/>
          <w:sz w:val="32"/>
          <w:szCs w:val="32"/>
        </w:rPr>
        <w:t>五、</w:t>
      </w:r>
      <w:r>
        <w:rPr>
          <w:rFonts w:hAnsi="宋体"/>
          <w:b/>
          <w:spacing w:val="-4"/>
          <w:sz w:val="32"/>
          <w:szCs w:val="32"/>
        </w:rPr>
        <w:t>一</w:t>
      </w:r>
      <w:r>
        <w:rPr>
          <w:rStyle w:val="30"/>
          <w:rFonts w:ascii="Times New Roman" w:hAnsi="宋体" w:eastAsia="宋体" w:cs="Times New Roman"/>
          <w:b w:val="0"/>
          <w:spacing w:val="-4"/>
        </w:rPr>
        <w:t>般公共预算财政拨款支出决算情况说明</w:t>
      </w:r>
      <w:bookmarkEnd w:id="36"/>
      <w:bookmarkEnd w:id="37"/>
      <w:bookmarkEnd w:id="38"/>
    </w:p>
    <w:p>
      <w:pPr>
        <w:spacing w:line="560" w:lineRule="exact"/>
        <w:ind w:firstLine="626" w:firstLineChars="200"/>
        <w:rPr>
          <w:b/>
          <w:spacing w:val="-4"/>
          <w:sz w:val="32"/>
          <w:szCs w:val="32"/>
        </w:rPr>
      </w:pPr>
      <w:bookmarkStart w:id="39" w:name="_Toc15377210"/>
      <w:r>
        <w:rPr>
          <w:rFonts w:hAnsi="宋体"/>
          <w:b/>
          <w:spacing w:val="-4"/>
          <w:sz w:val="32"/>
          <w:szCs w:val="32"/>
        </w:rPr>
        <w:t>（一）一般公共预算财政拨款支出决算总体情况</w:t>
      </w:r>
      <w:bookmarkEnd w:id="39"/>
    </w:p>
    <w:p>
      <w:pPr>
        <w:spacing w:line="560" w:lineRule="exact"/>
        <w:ind w:firstLine="624" w:firstLineChars="200"/>
        <w:rPr>
          <w:spacing w:val="-4"/>
          <w:sz w:val="32"/>
          <w:szCs w:val="32"/>
        </w:rPr>
      </w:pPr>
      <w:r>
        <w:rPr>
          <w:spacing w:val="-4"/>
          <w:sz w:val="32"/>
          <w:szCs w:val="32"/>
        </w:rPr>
        <w:t>2025</w:t>
      </w:r>
      <w:r>
        <w:rPr>
          <w:rFonts w:hAnsi="宋体"/>
          <w:spacing w:val="-4"/>
          <w:sz w:val="32"/>
          <w:szCs w:val="32"/>
        </w:rPr>
        <w:t>年度一般公共预算财政拨款支出</w:t>
      </w:r>
      <w:r>
        <w:rPr>
          <w:spacing w:val="-4"/>
          <w:sz w:val="32"/>
          <w:szCs w:val="32"/>
        </w:rPr>
        <w:t>165.43</w:t>
      </w:r>
      <w:r>
        <w:rPr>
          <w:rFonts w:hAnsi="宋体"/>
          <w:spacing w:val="-4"/>
          <w:sz w:val="32"/>
          <w:szCs w:val="32"/>
        </w:rPr>
        <w:t>万元，占本年支出合计的</w:t>
      </w:r>
      <w:r>
        <w:rPr>
          <w:spacing w:val="-4"/>
          <w:sz w:val="32"/>
          <w:szCs w:val="32"/>
        </w:rPr>
        <w:t>99.4%</w:t>
      </w:r>
      <w:r>
        <w:rPr>
          <w:rFonts w:hAnsi="宋体"/>
          <w:spacing w:val="-4"/>
          <w:sz w:val="32"/>
          <w:szCs w:val="32"/>
        </w:rPr>
        <w:t>。与</w:t>
      </w:r>
      <w:r>
        <w:rPr>
          <w:spacing w:val="-4"/>
          <w:sz w:val="32"/>
          <w:szCs w:val="32"/>
        </w:rPr>
        <w:t>2024</w:t>
      </w:r>
      <w:r>
        <w:rPr>
          <w:rFonts w:hAnsi="宋体"/>
          <w:spacing w:val="-4"/>
          <w:sz w:val="32"/>
          <w:szCs w:val="32"/>
        </w:rPr>
        <w:t>年度相比，一般公共预算财政拨款支出减少</w:t>
      </w:r>
      <w:r>
        <w:rPr>
          <w:spacing w:val="-4"/>
          <w:sz w:val="32"/>
          <w:szCs w:val="32"/>
        </w:rPr>
        <w:t>5.98</w:t>
      </w:r>
      <w:r>
        <w:rPr>
          <w:rFonts w:hAnsi="宋体"/>
          <w:spacing w:val="-4"/>
          <w:sz w:val="32"/>
          <w:szCs w:val="32"/>
        </w:rPr>
        <w:t>万元，下降</w:t>
      </w:r>
      <w:r>
        <w:rPr>
          <w:spacing w:val="-4"/>
          <w:sz w:val="32"/>
          <w:szCs w:val="32"/>
        </w:rPr>
        <w:t>3.49%</w:t>
      </w:r>
      <w:r>
        <w:rPr>
          <w:rFonts w:hAnsi="宋体"/>
          <w:spacing w:val="-4"/>
          <w:sz w:val="32"/>
          <w:szCs w:val="32"/>
        </w:rPr>
        <w:t>。主要变动原因是本年人员减少，项目减少，导致收入、支出减少。</w:t>
      </w:r>
    </w:p>
    <w:p>
      <w:pPr>
        <w:pStyle w:val="2"/>
        <w:spacing w:before="93"/>
        <w:jc w:val="center"/>
        <w:rPr>
          <w:rFonts w:ascii="Times New Roman" w:eastAsia="宋体"/>
          <w:spacing w:val="-4"/>
          <w:sz w:val="33"/>
          <w:szCs w:val="33"/>
        </w:rPr>
      </w:pPr>
      <w:r>
        <w:rPr>
          <w:rFonts w:ascii="Times New Roman" w:eastAsia="宋体"/>
          <w:spacing w:val="-4"/>
          <w:sz w:val="33"/>
          <w:szCs w:val="33"/>
        </w:rPr>
        <w:drawing>
          <wp:inline distT="0" distB="0" distL="0" distR="0">
            <wp:extent cx="4171950" cy="2311400"/>
            <wp:effectExtent l="19050" t="0" r="18441" b="0"/>
            <wp:docPr id="19" name="图表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Start w:id="40" w:name="_Toc15377211"/>
    </w:p>
    <w:p>
      <w:pPr>
        <w:spacing w:line="560" w:lineRule="exact"/>
        <w:ind w:firstLine="469" w:firstLineChars="150"/>
        <w:rPr>
          <w:b/>
          <w:spacing w:val="-4"/>
          <w:sz w:val="32"/>
          <w:szCs w:val="32"/>
        </w:rPr>
      </w:pPr>
      <w:r>
        <w:rPr>
          <w:rFonts w:hAnsi="宋体"/>
          <w:b/>
          <w:spacing w:val="-4"/>
          <w:sz w:val="32"/>
          <w:szCs w:val="32"/>
        </w:rPr>
        <w:t>（二）一般公共预算财政拨款支出决算结构情况</w:t>
      </w:r>
      <w:bookmarkEnd w:id="40"/>
    </w:p>
    <w:p>
      <w:pPr>
        <w:spacing w:line="560" w:lineRule="exact"/>
        <w:ind w:firstLine="640"/>
        <w:rPr>
          <w:spacing w:val="-4"/>
          <w:sz w:val="33"/>
          <w:szCs w:val="33"/>
        </w:rPr>
      </w:pPr>
      <w:r>
        <w:rPr>
          <w:spacing w:val="-4"/>
          <w:sz w:val="32"/>
          <w:szCs w:val="32"/>
        </w:rPr>
        <w:t>2025</w:t>
      </w:r>
      <w:r>
        <w:rPr>
          <w:rFonts w:hAnsi="宋体"/>
          <w:spacing w:val="-4"/>
          <w:sz w:val="32"/>
          <w:szCs w:val="32"/>
        </w:rPr>
        <w:t>年度一般公共预算财政拨款支出</w:t>
      </w:r>
      <w:r>
        <w:rPr>
          <w:spacing w:val="-4"/>
          <w:sz w:val="32"/>
          <w:szCs w:val="32"/>
        </w:rPr>
        <w:t>165.43</w:t>
      </w:r>
      <w:r>
        <w:rPr>
          <w:rFonts w:hAnsi="宋体"/>
          <w:spacing w:val="-4"/>
          <w:sz w:val="32"/>
          <w:szCs w:val="32"/>
        </w:rPr>
        <w:t>万元，主要用于以下方面：社会保障和就业支出</w:t>
      </w:r>
      <w:r>
        <w:rPr>
          <w:spacing w:val="-4"/>
          <w:sz w:val="32"/>
          <w:szCs w:val="32"/>
        </w:rPr>
        <w:t>21.29</w:t>
      </w:r>
      <w:r>
        <w:rPr>
          <w:rFonts w:hAnsi="宋体"/>
          <w:spacing w:val="-4"/>
          <w:sz w:val="32"/>
          <w:szCs w:val="32"/>
        </w:rPr>
        <w:t>万元，占</w:t>
      </w:r>
      <w:r>
        <w:rPr>
          <w:spacing w:val="-4"/>
          <w:sz w:val="32"/>
          <w:szCs w:val="32"/>
        </w:rPr>
        <w:t>12.87%</w:t>
      </w:r>
      <w:r>
        <w:rPr>
          <w:rFonts w:hAnsi="宋体"/>
          <w:spacing w:val="-4"/>
          <w:sz w:val="32"/>
          <w:szCs w:val="32"/>
        </w:rPr>
        <w:t>；卫生健康支出</w:t>
      </w:r>
      <w:r>
        <w:rPr>
          <w:spacing w:val="-4"/>
          <w:sz w:val="32"/>
          <w:szCs w:val="32"/>
        </w:rPr>
        <w:t>7.48</w:t>
      </w:r>
      <w:r>
        <w:rPr>
          <w:rFonts w:hAnsi="宋体"/>
          <w:spacing w:val="-4"/>
          <w:sz w:val="32"/>
          <w:szCs w:val="32"/>
        </w:rPr>
        <w:t>万元，占</w:t>
      </w:r>
      <w:r>
        <w:rPr>
          <w:spacing w:val="-4"/>
          <w:sz w:val="32"/>
          <w:szCs w:val="32"/>
        </w:rPr>
        <w:t>4.52%</w:t>
      </w:r>
      <w:r>
        <w:rPr>
          <w:rFonts w:hAnsi="宋体"/>
          <w:spacing w:val="-4"/>
          <w:sz w:val="32"/>
          <w:szCs w:val="32"/>
        </w:rPr>
        <w:t>；农林水支出</w:t>
      </w:r>
      <w:r>
        <w:rPr>
          <w:spacing w:val="-4"/>
          <w:sz w:val="32"/>
          <w:szCs w:val="32"/>
        </w:rPr>
        <w:t>127.02</w:t>
      </w:r>
      <w:r>
        <w:rPr>
          <w:rFonts w:hAnsi="宋体"/>
          <w:spacing w:val="-4"/>
          <w:sz w:val="32"/>
          <w:szCs w:val="32"/>
        </w:rPr>
        <w:t>万元，占</w:t>
      </w:r>
      <w:r>
        <w:rPr>
          <w:spacing w:val="-4"/>
          <w:sz w:val="32"/>
          <w:szCs w:val="32"/>
        </w:rPr>
        <w:t>76.78%</w:t>
      </w:r>
      <w:r>
        <w:rPr>
          <w:rFonts w:hAnsi="宋体"/>
          <w:spacing w:val="-4"/>
          <w:sz w:val="32"/>
          <w:szCs w:val="32"/>
        </w:rPr>
        <w:t>；住房保障支出</w:t>
      </w:r>
      <w:r>
        <w:rPr>
          <w:spacing w:val="-4"/>
          <w:sz w:val="32"/>
          <w:szCs w:val="32"/>
        </w:rPr>
        <w:t>9.64</w:t>
      </w:r>
      <w:r>
        <w:rPr>
          <w:rFonts w:hAnsi="宋体"/>
          <w:spacing w:val="-4"/>
          <w:sz w:val="32"/>
          <w:szCs w:val="32"/>
        </w:rPr>
        <w:t>万元，占</w:t>
      </w:r>
      <w:r>
        <w:rPr>
          <w:spacing w:val="-4"/>
          <w:sz w:val="32"/>
          <w:szCs w:val="32"/>
        </w:rPr>
        <w:t>5.83%</w:t>
      </w:r>
      <w:r>
        <w:rPr>
          <w:rFonts w:hAnsi="宋体"/>
          <w:spacing w:val="-4"/>
          <w:sz w:val="32"/>
          <w:szCs w:val="32"/>
        </w:rPr>
        <w:t>。</w:t>
      </w:r>
    </w:p>
    <w:p>
      <w:pPr>
        <w:spacing w:line="560" w:lineRule="exact"/>
        <w:ind w:firstLine="460" w:firstLineChars="147"/>
        <w:rPr>
          <w:b/>
          <w:spacing w:val="-4"/>
          <w:sz w:val="32"/>
          <w:szCs w:val="32"/>
        </w:rPr>
      </w:pPr>
      <w:r>
        <w:rPr>
          <w:b/>
          <w:spacing w:val="-4"/>
          <w:sz w:val="32"/>
          <w:szCs w:val="32"/>
        </w:rPr>
        <w:drawing>
          <wp:anchor distT="0" distB="0" distL="114300" distR="114300" simplePos="0" relativeHeight="251661312" behindDoc="0" locked="0" layoutInCell="1" allowOverlap="1">
            <wp:simplePos x="0" y="0"/>
            <wp:positionH relativeFrom="column">
              <wp:posOffset>370840</wp:posOffset>
            </wp:positionH>
            <wp:positionV relativeFrom="paragraph">
              <wp:posOffset>172085</wp:posOffset>
            </wp:positionV>
            <wp:extent cx="4620895" cy="2313305"/>
            <wp:effectExtent l="19050" t="0" r="27305" b="0"/>
            <wp:wrapTopAndBottom/>
            <wp:docPr id="4"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bookmarkStart w:id="41" w:name="_Toc15377212"/>
      <w:r>
        <w:rPr>
          <w:rFonts w:hAnsi="宋体"/>
          <w:b/>
          <w:spacing w:val="-4"/>
          <w:sz w:val="32"/>
          <w:szCs w:val="32"/>
        </w:rPr>
        <w:t>（三）一般公共预算财政拨款支出决算具体情况</w:t>
      </w:r>
      <w:bookmarkEnd w:id="41"/>
    </w:p>
    <w:p>
      <w:pPr>
        <w:spacing w:line="560" w:lineRule="exact"/>
        <w:ind w:firstLine="640"/>
        <w:rPr>
          <w:spacing w:val="-4"/>
          <w:sz w:val="32"/>
          <w:szCs w:val="32"/>
        </w:rPr>
      </w:pPr>
      <w:bookmarkStart w:id="42" w:name="_Toc15377444"/>
      <w:bookmarkStart w:id="43" w:name="_Toc15377213"/>
      <w:bookmarkStart w:id="44" w:name="_Toc15378460"/>
      <w:r>
        <w:rPr>
          <w:spacing w:val="-4"/>
          <w:sz w:val="32"/>
          <w:szCs w:val="32"/>
        </w:rPr>
        <w:t>2025</w:t>
      </w:r>
      <w:r>
        <w:rPr>
          <w:rFonts w:hAnsi="宋体"/>
          <w:spacing w:val="-4"/>
          <w:sz w:val="32"/>
          <w:szCs w:val="32"/>
        </w:rPr>
        <w:t>年度一般公共预算支出决算数为</w:t>
      </w:r>
      <w:r>
        <w:rPr>
          <w:spacing w:val="-4"/>
          <w:sz w:val="32"/>
          <w:szCs w:val="32"/>
        </w:rPr>
        <w:t>165.43</w:t>
      </w:r>
      <w:r>
        <w:rPr>
          <w:rFonts w:hAnsi="宋体"/>
          <w:spacing w:val="-4"/>
          <w:sz w:val="32"/>
          <w:szCs w:val="32"/>
        </w:rPr>
        <w:t>万元，完成预算</w:t>
      </w:r>
      <w:r>
        <w:rPr>
          <w:spacing w:val="-4"/>
          <w:sz w:val="32"/>
          <w:szCs w:val="32"/>
        </w:rPr>
        <w:t>100%</w:t>
      </w:r>
      <w:r>
        <w:rPr>
          <w:rFonts w:hAnsi="宋体"/>
          <w:spacing w:val="-4"/>
          <w:sz w:val="32"/>
          <w:szCs w:val="32"/>
        </w:rPr>
        <w:t>。其中：</w:t>
      </w:r>
      <w:bookmarkEnd w:id="42"/>
      <w:bookmarkEnd w:id="43"/>
      <w:bookmarkEnd w:id="44"/>
    </w:p>
    <w:p>
      <w:pPr>
        <w:spacing w:line="560" w:lineRule="exact"/>
        <w:ind w:firstLine="640"/>
        <w:rPr>
          <w:spacing w:val="-4"/>
          <w:sz w:val="32"/>
          <w:szCs w:val="32"/>
        </w:rPr>
      </w:pPr>
      <w:bookmarkStart w:id="45" w:name="_Toc62917698"/>
      <w:bookmarkStart w:id="46" w:name="_Toc60297470"/>
      <w:bookmarkStart w:id="47" w:name="_Toc62917731"/>
      <w:r>
        <w:rPr>
          <w:spacing w:val="-4"/>
          <w:sz w:val="32"/>
          <w:szCs w:val="32"/>
        </w:rPr>
        <w:t xml:space="preserve">1. </w:t>
      </w:r>
      <w:r>
        <w:rPr>
          <w:rFonts w:hAnsi="宋体"/>
          <w:spacing w:val="-4"/>
          <w:sz w:val="32"/>
          <w:szCs w:val="32"/>
        </w:rPr>
        <w:t>社会保障和就业支出（类）人力资源和社会保障管理事务（款）其他人力资源和社会保障管理事务支出（项）</w:t>
      </w:r>
      <w:r>
        <w:rPr>
          <w:spacing w:val="-4"/>
          <w:sz w:val="32"/>
          <w:szCs w:val="32"/>
        </w:rPr>
        <w:t xml:space="preserve">: </w:t>
      </w:r>
      <w:r>
        <w:rPr>
          <w:rFonts w:hAnsi="宋体"/>
          <w:spacing w:val="-4"/>
          <w:sz w:val="32"/>
          <w:szCs w:val="32"/>
        </w:rPr>
        <w:t>支出决算为</w:t>
      </w:r>
      <w:r>
        <w:rPr>
          <w:spacing w:val="-4"/>
          <w:sz w:val="32"/>
          <w:szCs w:val="32"/>
        </w:rPr>
        <w:t>21.29</w:t>
      </w:r>
      <w:r>
        <w:rPr>
          <w:rFonts w:hAnsi="宋体"/>
          <w:spacing w:val="-4"/>
          <w:sz w:val="32"/>
          <w:szCs w:val="32"/>
        </w:rPr>
        <w:t>万元，完成预算</w:t>
      </w:r>
      <w:r>
        <w:rPr>
          <w:spacing w:val="-4"/>
          <w:sz w:val="32"/>
          <w:szCs w:val="32"/>
        </w:rPr>
        <w:t>100%</w:t>
      </w:r>
      <w:r>
        <w:rPr>
          <w:rFonts w:hAnsi="宋体"/>
          <w:spacing w:val="-4"/>
          <w:sz w:val="32"/>
          <w:szCs w:val="32"/>
        </w:rPr>
        <w:t>。</w:t>
      </w:r>
    </w:p>
    <w:p>
      <w:pPr>
        <w:spacing w:line="560" w:lineRule="exact"/>
        <w:ind w:firstLine="640"/>
        <w:rPr>
          <w:spacing w:val="-4"/>
          <w:sz w:val="32"/>
          <w:szCs w:val="32"/>
        </w:rPr>
      </w:pPr>
      <w:r>
        <w:rPr>
          <w:spacing w:val="-4"/>
          <w:sz w:val="32"/>
          <w:szCs w:val="32"/>
        </w:rPr>
        <w:t>2.</w:t>
      </w:r>
      <w:r>
        <w:rPr>
          <w:rFonts w:hAnsi="宋体"/>
          <w:spacing w:val="-4"/>
          <w:sz w:val="32"/>
          <w:szCs w:val="32"/>
        </w:rPr>
        <w:t>社会保障和就业支出（类）行政事业单位养老（款）机关事业单位基本养老保险缴费支出（项）</w:t>
      </w:r>
      <w:r>
        <w:rPr>
          <w:spacing w:val="-4"/>
          <w:sz w:val="32"/>
          <w:szCs w:val="32"/>
        </w:rPr>
        <w:t xml:space="preserve">: </w:t>
      </w:r>
      <w:r>
        <w:rPr>
          <w:rFonts w:hAnsi="宋体"/>
          <w:spacing w:val="-4"/>
          <w:sz w:val="32"/>
          <w:szCs w:val="32"/>
        </w:rPr>
        <w:t>支出决算为</w:t>
      </w:r>
      <w:r>
        <w:rPr>
          <w:spacing w:val="-4"/>
          <w:sz w:val="32"/>
          <w:szCs w:val="32"/>
        </w:rPr>
        <w:t>13.29</w:t>
      </w:r>
      <w:r>
        <w:rPr>
          <w:rFonts w:hAnsi="宋体"/>
          <w:spacing w:val="-4"/>
          <w:sz w:val="32"/>
          <w:szCs w:val="32"/>
        </w:rPr>
        <w:t>万元，完成预算</w:t>
      </w:r>
      <w:r>
        <w:rPr>
          <w:spacing w:val="-4"/>
          <w:sz w:val="32"/>
          <w:szCs w:val="32"/>
        </w:rPr>
        <w:t>100%</w:t>
      </w:r>
      <w:r>
        <w:rPr>
          <w:rFonts w:hAnsi="宋体"/>
          <w:spacing w:val="-4"/>
          <w:sz w:val="32"/>
          <w:szCs w:val="32"/>
        </w:rPr>
        <w:t>。</w:t>
      </w:r>
      <w:bookmarkEnd w:id="45"/>
      <w:bookmarkEnd w:id="46"/>
      <w:bookmarkEnd w:id="47"/>
    </w:p>
    <w:p>
      <w:pPr>
        <w:spacing w:line="560" w:lineRule="exact"/>
        <w:ind w:firstLine="640"/>
        <w:rPr>
          <w:spacing w:val="-4"/>
          <w:sz w:val="32"/>
          <w:szCs w:val="32"/>
        </w:rPr>
      </w:pPr>
      <w:bookmarkStart w:id="48" w:name="_Toc62917732"/>
      <w:bookmarkStart w:id="49" w:name="_Toc62917699"/>
      <w:bookmarkStart w:id="50" w:name="_Toc60297471"/>
      <w:r>
        <w:rPr>
          <w:spacing w:val="-4"/>
          <w:sz w:val="32"/>
          <w:szCs w:val="32"/>
        </w:rPr>
        <w:t>3.</w:t>
      </w:r>
      <w:r>
        <w:rPr>
          <w:rFonts w:hAnsi="宋体"/>
          <w:spacing w:val="-4"/>
          <w:sz w:val="32"/>
          <w:szCs w:val="32"/>
        </w:rPr>
        <w:t>卫生健康支出（类）行政事业单位医疗（款）事业单位医疗（项）</w:t>
      </w:r>
      <w:r>
        <w:rPr>
          <w:spacing w:val="-4"/>
          <w:sz w:val="32"/>
          <w:szCs w:val="32"/>
        </w:rPr>
        <w:t>:</w:t>
      </w:r>
      <w:r>
        <w:rPr>
          <w:rFonts w:hAnsi="宋体"/>
          <w:spacing w:val="-4"/>
          <w:sz w:val="32"/>
          <w:szCs w:val="32"/>
        </w:rPr>
        <w:t>支出决算为</w:t>
      </w:r>
      <w:r>
        <w:rPr>
          <w:spacing w:val="-4"/>
          <w:sz w:val="32"/>
          <w:szCs w:val="32"/>
        </w:rPr>
        <w:t>6.6</w:t>
      </w:r>
      <w:r>
        <w:rPr>
          <w:rFonts w:hAnsi="宋体"/>
          <w:spacing w:val="-4"/>
          <w:sz w:val="32"/>
          <w:szCs w:val="32"/>
        </w:rPr>
        <w:t>万元，完成预算</w:t>
      </w:r>
      <w:r>
        <w:rPr>
          <w:spacing w:val="-4"/>
          <w:sz w:val="32"/>
          <w:szCs w:val="32"/>
        </w:rPr>
        <w:t>100%</w:t>
      </w:r>
      <w:r>
        <w:rPr>
          <w:rFonts w:hAnsi="宋体"/>
          <w:spacing w:val="-4"/>
          <w:sz w:val="32"/>
          <w:szCs w:val="32"/>
        </w:rPr>
        <w:t>。</w:t>
      </w:r>
      <w:bookmarkEnd w:id="48"/>
      <w:bookmarkEnd w:id="49"/>
      <w:bookmarkEnd w:id="50"/>
    </w:p>
    <w:p>
      <w:pPr>
        <w:spacing w:line="560" w:lineRule="exact"/>
        <w:ind w:firstLine="640"/>
        <w:rPr>
          <w:spacing w:val="-4"/>
          <w:sz w:val="32"/>
          <w:szCs w:val="32"/>
        </w:rPr>
      </w:pPr>
      <w:bookmarkStart w:id="51" w:name="_Toc60297472"/>
      <w:bookmarkStart w:id="52" w:name="_Toc62917733"/>
      <w:bookmarkStart w:id="53" w:name="_Toc62917700"/>
      <w:r>
        <w:rPr>
          <w:spacing w:val="-4"/>
          <w:sz w:val="32"/>
          <w:szCs w:val="32"/>
        </w:rPr>
        <w:t>4.</w:t>
      </w:r>
      <w:r>
        <w:rPr>
          <w:rFonts w:hAnsi="宋体"/>
          <w:spacing w:val="-4"/>
          <w:sz w:val="32"/>
          <w:szCs w:val="32"/>
        </w:rPr>
        <w:t>卫生健康支出（类）行政事业单位医疗（款）公务员医疗补助（项）</w:t>
      </w:r>
      <w:r>
        <w:rPr>
          <w:spacing w:val="-4"/>
          <w:sz w:val="32"/>
          <w:szCs w:val="32"/>
        </w:rPr>
        <w:t>:</w:t>
      </w:r>
      <w:r>
        <w:rPr>
          <w:rFonts w:hAnsi="宋体"/>
          <w:spacing w:val="-4"/>
          <w:sz w:val="32"/>
          <w:szCs w:val="32"/>
        </w:rPr>
        <w:t>支出决算为</w:t>
      </w:r>
      <w:r>
        <w:rPr>
          <w:spacing w:val="-4"/>
          <w:sz w:val="32"/>
          <w:szCs w:val="32"/>
        </w:rPr>
        <w:t>0.88</w:t>
      </w:r>
      <w:r>
        <w:rPr>
          <w:rFonts w:hAnsi="宋体"/>
          <w:spacing w:val="-4"/>
          <w:sz w:val="32"/>
          <w:szCs w:val="32"/>
        </w:rPr>
        <w:t>万元，完成预算</w:t>
      </w:r>
      <w:r>
        <w:rPr>
          <w:spacing w:val="-4"/>
          <w:sz w:val="32"/>
          <w:szCs w:val="32"/>
        </w:rPr>
        <w:t>100%</w:t>
      </w:r>
      <w:r>
        <w:rPr>
          <w:rFonts w:hAnsi="宋体"/>
          <w:spacing w:val="-4"/>
          <w:sz w:val="32"/>
          <w:szCs w:val="32"/>
        </w:rPr>
        <w:t>。</w:t>
      </w:r>
      <w:bookmarkEnd w:id="51"/>
      <w:bookmarkEnd w:id="52"/>
      <w:bookmarkEnd w:id="53"/>
    </w:p>
    <w:p>
      <w:pPr>
        <w:spacing w:line="560" w:lineRule="exact"/>
        <w:ind w:firstLine="640"/>
        <w:rPr>
          <w:spacing w:val="-4"/>
          <w:sz w:val="32"/>
          <w:szCs w:val="32"/>
        </w:rPr>
      </w:pPr>
      <w:bookmarkStart w:id="54" w:name="_Toc62917701"/>
      <w:bookmarkStart w:id="55" w:name="_Toc62917734"/>
      <w:bookmarkStart w:id="56" w:name="_Toc60297473"/>
      <w:r>
        <w:rPr>
          <w:spacing w:val="-4"/>
          <w:sz w:val="32"/>
          <w:szCs w:val="32"/>
        </w:rPr>
        <w:t>5.</w:t>
      </w:r>
      <w:r>
        <w:rPr>
          <w:rFonts w:hAnsi="宋体"/>
          <w:spacing w:val="-4"/>
          <w:sz w:val="32"/>
          <w:szCs w:val="32"/>
        </w:rPr>
        <w:t>农林水支出（类）水利（款）水土保持（项）：支出决算为</w:t>
      </w:r>
      <w:r>
        <w:rPr>
          <w:spacing w:val="-4"/>
          <w:sz w:val="32"/>
          <w:szCs w:val="32"/>
        </w:rPr>
        <w:t>118.02</w:t>
      </w:r>
      <w:r>
        <w:rPr>
          <w:rFonts w:hAnsi="宋体"/>
          <w:spacing w:val="-4"/>
          <w:sz w:val="32"/>
          <w:szCs w:val="32"/>
        </w:rPr>
        <w:t>万元，完成预算</w:t>
      </w:r>
      <w:r>
        <w:rPr>
          <w:spacing w:val="-4"/>
          <w:sz w:val="32"/>
          <w:szCs w:val="32"/>
        </w:rPr>
        <w:t>100%</w:t>
      </w:r>
      <w:r>
        <w:rPr>
          <w:rFonts w:hAnsi="宋体"/>
          <w:spacing w:val="-4"/>
          <w:sz w:val="32"/>
          <w:szCs w:val="32"/>
        </w:rPr>
        <w:t>。</w:t>
      </w:r>
      <w:bookmarkEnd w:id="54"/>
      <w:bookmarkEnd w:id="55"/>
      <w:bookmarkEnd w:id="56"/>
    </w:p>
    <w:p>
      <w:pPr>
        <w:pStyle w:val="2"/>
        <w:spacing w:before="93"/>
        <w:ind w:firstLine="624" w:firstLineChars="200"/>
        <w:rPr>
          <w:rFonts w:ascii="Times New Roman" w:eastAsia="宋体"/>
        </w:rPr>
      </w:pPr>
      <w:r>
        <w:rPr>
          <w:rFonts w:ascii="Times New Roman" w:eastAsia="宋体"/>
          <w:spacing w:val="-4"/>
          <w:sz w:val="32"/>
          <w:szCs w:val="32"/>
        </w:rPr>
        <w:t>6.</w:t>
      </w:r>
      <w:r>
        <w:rPr>
          <w:rFonts w:ascii="Times New Roman" w:hAnsi="宋体" w:eastAsia="宋体"/>
          <w:spacing w:val="-4"/>
          <w:sz w:val="32"/>
          <w:szCs w:val="32"/>
        </w:rPr>
        <w:t>农林水支出（类）水利（款）其他水利支出（项）：支出决算为</w:t>
      </w:r>
      <w:r>
        <w:rPr>
          <w:rFonts w:ascii="Times New Roman" w:eastAsia="宋体"/>
          <w:spacing w:val="-4"/>
          <w:sz w:val="32"/>
          <w:szCs w:val="32"/>
        </w:rPr>
        <w:t>9</w:t>
      </w:r>
      <w:r>
        <w:rPr>
          <w:rFonts w:ascii="Times New Roman" w:hAnsi="宋体" w:eastAsia="宋体"/>
          <w:spacing w:val="-4"/>
          <w:sz w:val="32"/>
          <w:szCs w:val="32"/>
        </w:rPr>
        <w:t>万元，完成预算</w:t>
      </w:r>
      <w:r>
        <w:rPr>
          <w:rFonts w:ascii="Times New Roman" w:eastAsia="宋体"/>
          <w:spacing w:val="-4"/>
          <w:sz w:val="32"/>
          <w:szCs w:val="32"/>
        </w:rPr>
        <w:t>100%</w:t>
      </w:r>
      <w:r>
        <w:rPr>
          <w:rFonts w:ascii="Times New Roman" w:hAnsi="宋体" w:eastAsia="宋体"/>
          <w:spacing w:val="-4"/>
          <w:sz w:val="32"/>
          <w:szCs w:val="32"/>
        </w:rPr>
        <w:t>。</w:t>
      </w:r>
    </w:p>
    <w:p>
      <w:pPr>
        <w:spacing w:line="560" w:lineRule="exact"/>
        <w:ind w:firstLine="640"/>
        <w:rPr>
          <w:spacing w:val="-4"/>
          <w:sz w:val="32"/>
          <w:szCs w:val="32"/>
        </w:rPr>
      </w:pPr>
      <w:bookmarkStart w:id="57" w:name="_Toc60297474"/>
      <w:bookmarkStart w:id="58" w:name="_Toc62917735"/>
      <w:bookmarkStart w:id="59" w:name="_Toc62917702"/>
      <w:r>
        <w:rPr>
          <w:spacing w:val="-4"/>
          <w:sz w:val="32"/>
          <w:szCs w:val="32"/>
        </w:rPr>
        <w:t>7.</w:t>
      </w:r>
      <w:r>
        <w:rPr>
          <w:rFonts w:hAnsi="宋体"/>
          <w:spacing w:val="-4"/>
          <w:sz w:val="32"/>
          <w:szCs w:val="32"/>
        </w:rPr>
        <w:t>住房保障支出（类）住房改革支出（款）住房公积金（项）：支出决算为</w:t>
      </w:r>
      <w:r>
        <w:rPr>
          <w:spacing w:val="-4"/>
          <w:sz w:val="32"/>
          <w:szCs w:val="32"/>
        </w:rPr>
        <w:t>9.64</w:t>
      </w:r>
      <w:r>
        <w:rPr>
          <w:rFonts w:hAnsi="宋体"/>
          <w:spacing w:val="-4"/>
          <w:sz w:val="32"/>
          <w:szCs w:val="32"/>
        </w:rPr>
        <w:t>万元，完成预算</w:t>
      </w:r>
      <w:r>
        <w:rPr>
          <w:spacing w:val="-4"/>
          <w:sz w:val="32"/>
          <w:szCs w:val="32"/>
        </w:rPr>
        <w:t>100%</w:t>
      </w:r>
      <w:r>
        <w:rPr>
          <w:rFonts w:hAnsi="宋体"/>
          <w:spacing w:val="-4"/>
          <w:sz w:val="32"/>
          <w:szCs w:val="32"/>
        </w:rPr>
        <w:t>。</w:t>
      </w:r>
      <w:bookmarkEnd w:id="57"/>
      <w:bookmarkEnd w:id="58"/>
      <w:bookmarkEnd w:id="59"/>
    </w:p>
    <w:p>
      <w:pPr>
        <w:tabs>
          <w:tab w:val="right" w:pos="8306"/>
        </w:tabs>
        <w:spacing w:line="560" w:lineRule="exact"/>
        <w:ind w:firstLine="641"/>
        <w:outlineLvl w:val="1"/>
        <w:rPr>
          <w:rStyle w:val="30"/>
          <w:rFonts w:ascii="Times New Roman" w:hAnsi="Times New Roman" w:eastAsia="宋体" w:cs="Times New Roman"/>
          <w:spacing w:val="-4"/>
        </w:rPr>
      </w:pPr>
      <w:bookmarkStart w:id="60" w:name="_Toc31007"/>
      <w:bookmarkStart w:id="61" w:name="_Toc15396608"/>
      <w:bookmarkStart w:id="62" w:name="_Toc15377214"/>
      <w:r>
        <w:rPr>
          <w:rFonts w:hAnsi="宋体"/>
          <w:spacing w:val="-4"/>
          <w:sz w:val="32"/>
          <w:szCs w:val="32"/>
        </w:rPr>
        <w:t>六</w:t>
      </w:r>
      <w:r>
        <w:rPr>
          <w:rFonts w:hAnsi="宋体"/>
          <w:b/>
          <w:spacing w:val="-4"/>
          <w:sz w:val="32"/>
          <w:szCs w:val="32"/>
        </w:rPr>
        <w:t>、一</w:t>
      </w:r>
      <w:r>
        <w:rPr>
          <w:rStyle w:val="30"/>
          <w:rFonts w:ascii="Times New Roman" w:hAnsi="宋体" w:eastAsia="宋体" w:cs="Times New Roman"/>
          <w:b w:val="0"/>
          <w:spacing w:val="-4"/>
        </w:rPr>
        <w:t>般公共预算财政拨款基本支出决算情况说明</w:t>
      </w:r>
      <w:bookmarkEnd w:id="60"/>
      <w:bookmarkEnd w:id="61"/>
      <w:bookmarkEnd w:id="62"/>
      <w:r>
        <w:rPr>
          <w:rStyle w:val="30"/>
          <w:rFonts w:ascii="Times New Roman" w:hAnsi="Times New Roman" w:eastAsia="宋体" w:cs="Times New Roman"/>
          <w:b w:val="0"/>
          <w:spacing w:val="-4"/>
        </w:rPr>
        <w:tab/>
      </w:r>
    </w:p>
    <w:p>
      <w:pPr>
        <w:spacing w:line="560" w:lineRule="exact"/>
        <w:ind w:firstLine="641"/>
        <w:rPr>
          <w:spacing w:val="-4"/>
          <w:sz w:val="32"/>
          <w:szCs w:val="32"/>
        </w:rPr>
      </w:pPr>
      <w:r>
        <w:rPr>
          <w:spacing w:val="-4"/>
          <w:sz w:val="32"/>
          <w:szCs w:val="32"/>
        </w:rPr>
        <w:t>2025</w:t>
      </w:r>
      <w:r>
        <w:rPr>
          <w:rFonts w:hAnsi="宋体"/>
          <w:spacing w:val="-4"/>
          <w:sz w:val="32"/>
          <w:szCs w:val="32"/>
        </w:rPr>
        <w:t>年度一般公共预算财政拨款基本支出</w:t>
      </w:r>
      <w:r>
        <w:rPr>
          <w:spacing w:val="-4"/>
          <w:sz w:val="32"/>
          <w:szCs w:val="32"/>
        </w:rPr>
        <w:t>146.69</w:t>
      </w:r>
      <w:r>
        <w:rPr>
          <w:rFonts w:hAnsi="宋体"/>
          <w:spacing w:val="-4"/>
          <w:sz w:val="32"/>
          <w:szCs w:val="32"/>
        </w:rPr>
        <w:t>万元，其中：人员经费</w:t>
      </w:r>
      <w:r>
        <w:rPr>
          <w:spacing w:val="-4"/>
          <w:sz w:val="32"/>
          <w:szCs w:val="32"/>
        </w:rPr>
        <w:t>135.14</w:t>
      </w:r>
      <w:r>
        <w:rPr>
          <w:rFonts w:hAnsi="宋体"/>
          <w:spacing w:val="-4"/>
          <w:sz w:val="32"/>
          <w:szCs w:val="32"/>
        </w:rPr>
        <w:t>万元，主要包括：基本工资</w:t>
      </w:r>
      <w:r>
        <w:rPr>
          <w:spacing w:val="-4"/>
          <w:sz w:val="32"/>
          <w:szCs w:val="32"/>
        </w:rPr>
        <w:t>8.91</w:t>
      </w:r>
      <w:r>
        <w:rPr>
          <w:rFonts w:hAnsi="宋体"/>
          <w:spacing w:val="-4"/>
          <w:sz w:val="32"/>
          <w:szCs w:val="32"/>
        </w:rPr>
        <w:t>万元、绩效工资</w:t>
      </w:r>
      <w:r>
        <w:rPr>
          <w:spacing w:val="-4"/>
          <w:sz w:val="32"/>
          <w:szCs w:val="32"/>
        </w:rPr>
        <w:t>83.76</w:t>
      </w:r>
      <w:r>
        <w:rPr>
          <w:rFonts w:hAnsi="宋体"/>
          <w:spacing w:val="-4"/>
          <w:sz w:val="32"/>
          <w:szCs w:val="32"/>
        </w:rPr>
        <w:t>万元、机关事业单位基本养老保险缴费</w:t>
      </w:r>
      <w:r>
        <w:rPr>
          <w:spacing w:val="-4"/>
          <w:sz w:val="32"/>
          <w:szCs w:val="32"/>
        </w:rPr>
        <w:t>13.29</w:t>
      </w:r>
      <w:r>
        <w:rPr>
          <w:rFonts w:hAnsi="宋体"/>
          <w:spacing w:val="-4"/>
          <w:sz w:val="32"/>
          <w:szCs w:val="32"/>
        </w:rPr>
        <w:t>万元、职工基本医疗保险缴费</w:t>
      </w:r>
      <w:r>
        <w:rPr>
          <w:spacing w:val="-4"/>
          <w:sz w:val="32"/>
          <w:szCs w:val="32"/>
        </w:rPr>
        <w:t>6.61</w:t>
      </w:r>
      <w:r>
        <w:rPr>
          <w:rFonts w:hAnsi="宋体"/>
          <w:spacing w:val="-4"/>
          <w:sz w:val="32"/>
          <w:szCs w:val="32"/>
        </w:rPr>
        <w:t>万元、公务员医疗补助缴费</w:t>
      </w:r>
      <w:r>
        <w:rPr>
          <w:spacing w:val="-4"/>
          <w:sz w:val="32"/>
          <w:szCs w:val="32"/>
        </w:rPr>
        <w:t>1.94</w:t>
      </w:r>
      <w:r>
        <w:rPr>
          <w:rFonts w:hAnsi="宋体"/>
          <w:spacing w:val="-4"/>
          <w:sz w:val="32"/>
          <w:szCs w:val="32"/>
        </w:rPr>
        <w:t>万元、其他社会保障缴费</w:t>
      </w:r>
      <w:r>
        <w:rPr>
          <w:spacing w:val="-4"/>
          <w:sz w:val="32"/>
          <w:szCs w:val="32"/>
        </w:rPr>
        <w:t>0.66</w:t>
      </w:r>
      <w:r>
        <w:rPr>
          <w:rFonts w:hAnsi="宋体"/>
          <w:spacing w:val="-4"/>
          <w:sz w:val="32"/>
          <w:szCs w:val="32"/>
        </w:rPr>
        <w:t>万元、住房公积金</w:t>
      </w:r>
      <w:r>
        <w:rPr>
          <w:spacing w:val="-4"/>
          <w:sz w:val="32"/>
          <w:szCs w:val="32"/>
        </w:rPr>
        <w:t>9.64</w:t>
      </w:r>
      <w:r>
        <w:rPr>
          <w:rFonts w:hAnsi="宋体"/>
          <w:spacing w:val="-4"/>
          <w:sz w:val="32"/>
          <w:szCs w:val="32"/>
        </w:rPr>
        <w:t>万元，其他工资福利支出</w:t>
      </w:r>
      <w:r>
        <w:rPr>
          <w:spacing w:val="-4"/>
          <w:sz w:val="32"/>
          <w:szCs w:val="32"/>
        </w:rPr>
        <w:t>2.33</w:t>
      </w:r>
      <w:r>
        <w:rPr>
          <w:rFonts w:hAnsi="宋体"/>
          <w:spacing w:val="-4"/>
          <w:sz w:val="32"/>
          <w:szCs w:val="32"/>
        </w:rPr>
        <w:t>万元、生活补助</w:t>
      </w:r>
      <w:r>
        <w:rPr>
          <w:spacing w:val="-4"/>
          <w:sz w:val="32"/>
          <w:szCs w:val="32"/>
        </w:rPr>
        <w:t>8</w:t>
      </w:r>
      <w:r>
        <w:rPr>
          <w:rFonts w:hAnsi="宋体"/>
          <w:spacing w:val="-4"/>
          <w:sz w:val="32"/>
          <w:szCs w:val="32"/>
        </w:rPr>
        <w:t>万元。公用经费</w:t>
      </w:r>
      <w:r>
        <w:rPr>
          <w:spacing w:val="-4"/>
          <w:sz w:val="32"/>
          <w:szCs w:val="32"/>
        </w:rPr>
        <w:t>11.55</w:t>
      </w:r>
      <w:r>
        <w:rPr>
          <w:rFonts w:hAnsi="宋体"/>
          <w:spacing w:val="-4"/>
          <w:sz w:val="32"/>
          <w:szCs w:val="32"/>
        </w:rPr>
        <w:t>万元，主要包括：办公费</w:t>
      </w:r>
      <w:r>
        <w:rPr>
          <w:spacing w:val="-4"/>
          <w:sz w:val="32"/>
          <w:szCs w:val="32"/>
        </w:rPr>
        <w:t>1.92</w:t>
      </w:r>
      <w:r>
        <w:rPr>
          <w:rFonts w:hAnsi="宋体"/>
          <w:spacing w:val="-4"/>
          <w:sz w:val="32"/>
          <w:szCs w:val="32"/>
        </w:rPr>
        <w:t>万元、印刷费</w:t>
      </w:r>
      <w:r>
        <w:rPr>
          <w:spacing w:val="-4"/>
          <w:sz w:val="32"/>
          <w:szCs w:val="32"/>
        </w:rPr>
        <w:t>0.1</w:t>
      </w:r>
      <w:r>
        <w:rPr>
          <w:rFonts w:hAnsi="宋体"/>
          <w:spacing w:val="-4"/>
          <w:sz w:val="32"/>
          <w:szCs w:val="32"/>
        </w:rPr>
        <w:t>万元、水费</w:t>
      </w:r>
      <w:r>
        <w:rPr>
          <w:spacing w:val="-4"/>
          <w:sz w:val="32"/>
          <w:szCs w:val="32"/>
        </w:rPr>
        <w:t>0.13</w:t>
      </w:r>
      <w:r>
        <w:rPr>
          <w:rFonts w:hAnsi="宋体"/>
          <w:spacing w:val="-4"/>
          <w:sz w:val="32"/>
          <w:szCs w:val="32"/>
        </w:rPr>
        <w:t>万元、电费</w:t>
      </w:r>
      <w:r>
        <w:rPr>
          <w:spacing w:val="-4"/>
          <w:sz w:val="32"/>
          <w:szCs w:val="32"/>
        </w:rPr>
        <w:t>0.76</w:t>
      </w:r>
      <w:r>
        <w:rPr>
          <w:rFonts w:hAnsi="宋体"/>
          <w:spacing w:val="-4"/>
          <w:sz w:val="32"/>
          <w:szCs w:val="32"/>
        </w:rPr>
        <w:t>万元、邮电费</w:t>
      </w:r>
      <w:r>
        <w:rPr>
          <w:spacing w:val="-4"/>
          <w:sz w:val="32"/>
          <w:szCs w:val="32"/>
        </w:rPr>
        <w:t>0.85</w:t>
      </w:r>
      <w:r>
        <w:rPr>
          <w:rFonts w:hAnsi="宋体"/>
          <w:spacing w:val="-4"/>
          <w:sz w:val="32"/>
          <w:szCs w:val="32"/>
        </w:rPr>
        <w:t>万元、差旅费</w:t>
      </w:r>
      <w:r>
        <w:rPr>
          <w:spacing w:val="-4"/>
          <w:sz w:val="32"/>
          <w:szCs w:val="32"/>
        </w:rPr>
        <w:t>0.46</w:t>
      </w:r>
      <w:r>
        <w:rPr>
          <w:rFonts w:hAnsi="宋体"/>
          <w:spacing w:val="-4"/>
          <w:sz w:val="32"/>
          <w:szCs w:val="32"/>
        </w:rPr>
        <w:t>万元、维修（护）费</w:t>
      </w:r>
      <w:r>
        <w:rPr>
          <w:spacing w:val="-4"/>
          <w:sz w:val="32"/>
          <w:szCs w:val="32"/>
        </w:rPr>
        <w:t>0.3</w:t>
      </w:r>
      <w:r>
        <w:rPr>
          <w:rFonts w:hAnsi="宋体"/>
          <w:spacing w:val="-4"/>
          <w:sz w:val="32"/>
          <w:szCs w:val="32"/>
        </w:rPr>
        <w:t>万元、培训费</w:t>
      </w:r>
      <w:r>
        <w:rPr>
          <w:spacing w:val="-4"/>
          <w:sz w:val="32"/>
          <w:szCs w:val="32"/>
        </w:rPr>
        <w:t>0.03</w:t>
      </w:r>
      <w:r>
        <w:rPr>
          <w:rFonts w:hAnsi="宋体"/>
          <w:spacing w:val="-4"/>
          <w:sz w:val="32"/>
          <w:szCs w:val="32"/>
        </w:rPr>
        <w:t>万元、公务接待费</w:t>
      </w:r>
      <w:r>
        <w:rPr>
          <w:spacing w:val="-4"/>
          <w:sz w:val="32"/>
          <w:szCs w:val="32"/>
        </w:rPr>
        <w:t>0.15</w:t>
      </w:r>
      <w:r>
        <w:rPr>
          <w:rFonts w:hAnsi="宋体"/>
          <w:spacing w:val="-4"/>
          <w:sz w:val="32"/>
          <w:szCs w:val="32"/>
        </w:rPr>
        <w:t>万元、委托业务费</w:t>
      </w:r>
      <w:r>
        <w:rPr>
          <w:spacing w:val="-4"/>
          <w:sz w:val="32"/>
          <w:szCs w:val="32"/>
        </w:rPr>
        <w:t>1.4</w:t>
      </w:r>
      <w:r>
        <w:rPr>
          <w:rFonts w:hAnsi="宋体"/>
          <w:spacing w:val="-4"/>
          <w:sz w:val="32"/>
          <w:szCs w:val="32"/>
        </w:rPr>
        <w:t>万元、工会经费</w:t>
      </w:r>
      <w:r>
        <w:rPr>
          <w:spacing w:val="-4"/>
          <w:sz w:val="32"/>
          <w:szCs w:val="32"/>
        </w:rPr>
        <w:t>2.13</w:t>
      </w:r>
      <w:r>
        <w:rPr>
          <w:rFonts w:hAnsi="宋体"/>
          <w:spacing w:val="-4"/>
          <w:sz w:val="32"/>
          <w:szCs w:val="32"/>
        </w:rPr>
        <w:t>万元、福利费</w:t>
      </w:r>
      <w:r>
        <w:rPr>
          <w:spacing w:val="-4"/>
          <w:sz w:val="32"/>
          <w:szCs w:val="32"/>
        </w:rPr>
        <w:t>1.13</w:t>
      </w:r>
      <w:r>
        <w:rPr>
          <w:rFonts w:hAnsi="宋体"/>
          <w:spacing w:val="-4"/>
          <w:sz w:val="32"/>
          <w:szCs w:val="32"/>
        </w:rPr>
        <w:t>万元、公务用车运行维护费</w:t>
      </w:r>
      <w:r>
        <w:rPr>
          <w:spacing w:val="-4"/>
          <w:sz w:val="32"/>
          <w:szCs w:val="32"/>
        </w:rPr>
        <w:t>1.65</w:t>
      </w:r>
      <w:r>
        <w:rPr>
          <w:rFonts w:hAnsi="宋体"/>
          <w:spacing w:val="-4"/>
          <w:sz w:val="32"/>
          <w:szCs w:val="32"/>
        </w:rPr>
        <w:t>万元、其他商品和服务支出</w:t>
      </w:r>
      <w:r>
        <w:rPr>
          <w:spacing w:val="-4"/>
          <w:sz w:val="32"/>
          <w:szCs w:val="32"/>
        </w:rPr>
        <w:t>0.54</w:t>
      </w:r>
      <w:r>
        <w:rPr>
          <w:rFonts w:hAnsi="宋体"/>
          <w:spacing w:val="-4"/>
          <w:sz w:val="32"/>
          <w:szCs w:val="32"/>
        </w:rPr>
        <w:t>万元。</w:t>
      </w:r>
    </w:p>
    <w:p>
      <w:pPr>
        <w:spacing w:line="560" w:lineRule="exact"/>
        <w:ind w:firstLine="641"/>
        <w:outlineLvl w:val="1"/>
        <w:rPr>
          <w:rStyle w:val="30"/>
          <w:rFonts w:ascii="Times New Roman" w:hAnsi="Times New Roman" w:eastAsia="宋体" w:cs="Times New Roman"/>
          <w:b w:val="0"/>
          <w:spacing w:val="-4"/>
        </w:rPr>
      </w:pPr>
      <w:bookmarkStart w:id="63" w:name="_Toc15377215"/>
      <w:bookmarkStart w:id="64" w:name="_Toc15396609"/>
      <w:bookmarkStart w:id="65" w:name="_Toc4581"/>
      <w:r>
        <w:rPr>
          <w:rFonts w:hAnsi="宋体"/>
          <w:spacing w:val="-4"/>
          <w:sz w:val="32"/>
          <w:szCs w:val="32"/>
        </w:rPr>
        <w:t>七、</w:t>
      </w:r>
      <w:r>
        <w:rPr>
          <w:rStyle w:val="30"/>
          <w:rFonts w:ascii="Times New Roman" w:hAnsi="宋体" w:eastAsia="宋体" w:cs="Times New Roman"/>
          <w:b w:val="0"/>
          <w:spacing w:val="-4"/>
        </w:rPr>
        <w:t>财政拨款</w:t>
      </w:r>
      <w:r>
        <w:rPr>
          <w:rStyle w:val="30"/>
          <w:rFonts w:ascii="Times New Roman" w:hAnsi="Times New Roman" w:eastAsia="宋体" w:cs="Times New Roman"/>
          <w:spacing w:val="-4"/>
        </w:rPr>
        <w:t>“</w:t>
      </w:r>
      <w:r>
        <w:rPr>
          <w:rStyle w:val="30"/>
          <w:rFonts w:ascii="Times New Roman" w:hAnsi="宋体" w:eastAsia="宋体" w:cs="Times New Roman"/>
          <w:b w:val="0"/>
          <w:spacing w:val="-4"/>
        </w:rPr>
        <w:t>三公</w:t>
      </w:r>
      <w:r>
        <w:rPr>
          <w:rStyle w:val="30"/>
          <w:rFonts w:ascii="Times New Roman" w:hAnsi="Times New Roman" w:eastAsia="宋体" w:cs="Times New Roman"/>
          <w:b w:val="0"/>
          <w:spacing w:val="-4"/>
        </w:rPr>
        <w:t>”</w:t>
      </w:r>
      <w:r>
        <w:rPr>
          <w:rStyle w:val="30"/>
          <w:rFonts w:ascii="Times New Roman" w:hAnsi="宋体" w:eastAsia="宋体" w:cs="Times New Roman"/>
          <w:b w:val="0"/>
          <w:spacing w:val="-4"/>
        </w:rPr>
        <w:t>经费支出决算情况说明</w:t>
      </w:r>
      <w:bookmarkEnd w:id="63"/>
      <w:bookmarkEnd w:id="64"/>
      <w:bookmarkEnd w:id="65"/>
    </w:p>
    <w:p>
      <w:pPr>
        <w:spacing w:line="560" w:lineRule="exact"/>
        <w:ind w:firstLine="641"/>
        <w:rPr>
          <w:b/>
          <w:spacing w:val="-4"/>
          <w:sz w:val="32"/>
          <w:szCs w:val="32"/>
        </w:rPr>
      </w:pPr>
      <w:bookmarkStart w:id="66" w:name="_Toc15377216"/>
      <w:r>
        <w:rPr>
          <w:rFonts w:hAnsi="宋体"/>
          <w:b/>
          <w:spacing w:val="-4"/>
          <w:sz w:val="32"/>
          <w:szCs w:val="32"/>
        </w:rPr>
        <w:t>（一）</w:t>
      </w:r>
      <w:r>
        <w:rPr>
          <w:b/>
          <w:spacing w:val="-4"/>
          <w:sz w:val="32"/>
          <w:szCs w:val="32"/>
        </w:rPr>
        <w:t>“</w:t>
      </w:r>
      <w:r>
        <w:rPr>
          <w:rFonts w:hAnsi="宋体"/>
          <w:b/>
          <w:spacing w:val="-4"/>
          <w:sz w:val="32"/>
          <w:szCs w:val="32"/>
        </w:rPr>
        <w:t>三公</w:t>
      </w:r>
      <w:r>
        <w:rPr>
          <w:b/>
          <w:spacing w:val="-4"/>
          <w:sz w:val="32"/>
          <w:szCs w:val="32"/>
        </w:rPr>
        <w:t>”</w:t>
      </w:r>
      <w:r>
        <w:rPr>
          <w:rFonts w:hAnsi="宋体"/>
          <w:b/>
          <w:spacing w:val="-4"/>
          <w:sz w:val="32"/>
          <w:szCs w:val="32"/>
        </w:rPr>
        <w:t>经费财政拨款支出决算总体情况说明</w:t>
      </w:r>
      <w:bookmarkEnd w:id="66"/>
    </w:p>
    <w:p>
      <w:pPr>
        <w:spacing w:line="560" w:lineRule="exact"/>
        <w:ind w:firstLine="641"/>
        <w:rPr>
          <w:spacing w:val="-4"/>
          <w:sz w:val="32"/>
          <w:szCs w:val="32"/>
        </w:rPr>
      </w:pPr>
      <w:r>
        <w:rPr>
          <w:spacing w:val="-4"/>
          <w:sz w:val="32"/>
          <w:szCs w:val="32"/>
        </w:rPr>
        <w:t>2025</w:t>
      </w:r>
      <w:r>
        <w:rPr>
          <w:rFonts w:hAnsi="宋体"/>
          <w:spacing w:val="-4"/>
          <w:sz w:val="32"/>
          <w:szCs w:val="32"/>
        </w:rPr>
        <w:t>年度</w:t>
      </w:r>
      <w:r>
        <w:rPr>
          <w:spacing w:val="-4"/>
          <w:sz w:val="32"/>
          <w:szCs w:val="32"/>
        </w:rPr>
        <w:t>“</w:t>
      </w:r>
      <w:r>
        <w:rPr>
          <w:rFonts w:hAnsi="宋体"/>
          <w:spacing w:val="-4"/>
          <w:sz w:val="32"/>
          <w:szCs w:val="32"/>
        </w:rPr>
        <w:t>三公</w:t>
      </w:r>
      <w:r>
        <w:rPr>
          <w:spacing w:val="-4"/>
          <w:sz w:val="32"/>
          <w:szCs w:val="32"/>
        </w:rPr>
        <w:t>”</w:t>
      </w:r>
      <w:r>
        <w:rPr>
          <w:rFonts w:hAnsi="宋体"/>
          <w:spacing w:val="-4"/>
          <w:sz w:val="32"/>
          <w:szCs w:val="32"/>
        </w:rPr>
        <w:t>经费财政拨款支出决算为</w:t>
      </w:r>
      <w:r>
        <w:rPr>
          <w:spacing w:val="-4"/>
          <w:sz w:val="32"/>
          <w:szCs w:val="32"/>
        </w:rPr>
        <w:t>1.8</w:t>
      </w:r>
      <w:r>
        <w:rPr>
          <w:rFonts w:hAnsi="宋体"/>
          <w:spacing w:val="-4"/>
          <w:sz w:val="32"/>
          <w:szCs w:val="32"/>
        </w:rPr>
        <w:t>万元，完成预算</w:t>
      </w:r>
      <w:r>
        <w:rPr>
          <w:spacing w:val="-4"/>
          <w:sz w:val="32"/>
          <w:szCs w:val="32"/>
        </w:rPr>
        <w:t>100%</w:t>
      </w:r>
      <w:r>
        <w:rPr>
          <w:rFonts w:hAnsi="宋体"/>
          <w:spacing w:val="-4"/>
          <w:sz w:val="32"/>
          <w:szCs w:val="32"/>
        </w:rPr>
        <w:t>，较上年增加</w:t>
      </w:r>
      <w:r>
        <w:rPr>
          <w:spacing w:val="-4"/>
          <w:sz w:val="32"/>
          <w:szCs w:val="32"/>
        </w:rPr>
        <w:t>0.39</w:t>
      </w:r>
      <w:r>
        <w:rPr>
          <w:rFonts w:hAnsi="宋体"/>
          <w:spacing w:val="-4"/>
          <w:sz w:val="32"/>
          <w:szCs w:val="32"/>
        </w:rPr>
        <w:t>万元，增长</w:t>
      </w:r>
      <w:r>
        <w:rPr>
          <w:spacing w:val="-4"/>
          <w:sz w:val="32"/>
          <w:szCs w:val="32"/>
        </w:rPr>
        <w:t>27.66%</w:t>
      </w:r>
      <w:r>
        <w:rPr>
          <w:rFonts w:hAnsi="宋体"/>
          <w:spacing w:val="-4"/>
          <w:sz w:val="32"/>
          <w:szCs w:val="32"/>
        </w:rPr>
        <w:t>。决算数与预算数持平。</w:t>
      </w:r>
    </w:p>
    <w:p>
      <w:pPr>
        <w:spacing w:line="560" w:lineRule="exact"/>
        <w:ind w:firstLine="641"/>
        <w:rPr>
          <w:b/>
          <w:spacing w:val="-4"/>
          <w:sz w:val="32"/>
          <w:szCs w:val="32"/>
        </w:rPr>
      </w:pPr>
      <w:bookmarkStart w:id="67" w:name="_Toc15377217"/>
      <w:r>
        <w:rPr>
          <w:rFonts w:hAnsi="宋体"/>
          <w:b/>
          <w:spacing w:val="-4"/>
          <w:sz w:val="32"/>
          <w:szCs w:val="32"/>
        </w:rPr>
        <w:t>（二）</w:t>
      </w:r>
      <w:r>
        <w:rPr>
          <w:b/>
          <w:spacing w:val="-4"/>
          <w:sz w:val="32"/>
          <w:szCs w:val="32"/>
        </w:rPr>
        <w:t>“</w:t>
      </w:r>
      <w:r>
        <w:rPr>
          <w:rFonts w:hAnsi="宋体"/>
          <w:b/>
          <w:spacing w:val="-4"/>
          <w:sz w:val="32"/>
          <w:szCs w:val="32"/>
        </w:rPr>
        <w:t>三公</w:t>
      </w:r>
      <w:r>
        <w:rPr>
          <w:b/>
          <w:spacing w:val="-4"/>
          <w:sz w:val="32"/>
          <w:szCs w:val="32"/>
        </w:rPr>
        <w:t>”</w:t>
      </w:r>
      <w:r>
        <w:rPr>
          <w:rFonts w:hAnsi="宋体"/>
          <w:b/>
          <w:spacing w:val="-4"/>
          <w:sz w:val="32"/>
          <w:szCs w:val="32"/>
        </w:rPr>
        <w:t>经费财政拨款支出决算具体情况说明</w:t>
      </w:r>
      <w:bookmarkEnd w:id="67"/>
    </w:p>
    <w:p>
      <w:pPr>
        <w:spacing w:line="560" w:lineRule="exact"/>
        <w:ind w:firstLine="641"/>
        <w:rPr>
          <w:spacing w:val="-4"/>
          <w:sz w:val="32"/>
          <w:szCs w:val="32"/>
        </w:rPr>
      </w:pPr>
      <w:r>
        <w:rPr>
          <w:spacing w:val="-4"/>
          <w:sz w:val="32"/>
          <w:szCs w:val="32"/>
        </w:rPr>
        <w:t>2025</w:t>
      </w:r>
      <w:r>
        <w:rPr>
          <w:rFonts w:hAnsi="宋体"/>
          <w:spacing w:val="-4"/>
          <w:sz w:val="32"/>
          <w:szCs w:val="32"/>
        </w:rPr>
        <w:t>年度</w:t>
      </w:r>
      <w:r>
        <w:rPr>
          <w:spacing w:val="-4"/>
          <w:sz w:val="32"/>
          <w:szCs w:val="32"/>
        </w:rPr>
        <w:t>“</w:t>
      </w:r>
      <w:r>
        <w:rPr>
          <w:rFonts w:hAnsi="宋体"/>
          <w:spacing w:val="-4"/>
          <w:sz w:val="32"/>
          <w:szCs w:val="32"/>
        </w:rPr>
        <w:t>三公</w:t>
      </w:r>
      <w:r>
        <w:rPr>
          <w:spacing w:val="-4"/>
          <w:sz w:val="32"/>
          <w:szCs w:val="32"/>
        </w:rPr>
        <w:t>”</w:t>
      </w:r>
      <w:r>
        <w:rPr>
          <w:rFonts w:hAnsi="宋体"/>
          <w:spacing w:val="-4"/>
          <w:sz w:val="32"/>
          <w:szCs w:val="32"/>
        </w:rPr>
        <w:t>经费财政拨款支出决算中，因公出国（境）费支出决算</w:t>
      </w:r>
      <w:r>
        <w:rPr>
          <w:spacing w:val="-4"/>
          <w:sz w:val="32"/>
          <w:szCs w:val="32"/>
        </w:rPr>
        <w:t>0</w:t>
      </w:r>
      <w:r>
        <w:rPr>
          <w:rFonts w:hAnsi="宋体"/>
          <w:spacing w:val="-4"/>
          <w:sz w:val="32"/>
          <w:szCs w:val="32"/>
        </w:rPr>
        <w:t>万元，占</w:t>
      </w:r>
      <w:r>
        <w:rPr>
          <w:spacing w:val="-4"/>
          <w:sz w:val="32"/>
          <w:szCs w:val="32"/>
        </w:rPr>
        <w:t>0%</w:t>
      </w:r>
      <w:r>
        <w:rPr>
          <w:rFonts w:hAnsi="宋体"/>
          <w:spacing w:val="-4"/>
          <w:sz w:val="32"/>
          <w:szCs w:val="32"/>
        </w:rPr>
        <w:t>；公务用车购置及运行维护费支出决算</w:t>
      </w:r>
      <w:r>
        <w:rPr>
          <w:spacing w:val="-4"/>
          <w:sz w:val="32"/>
          <w:szCs w:val="32"/>
        </w:rPr>
        <w:t>1.65</w:t>
      </w:r>
      <w:r>
        <w:rPr>
          <w:rFonts w:hAnsi="宋体"/>
          <w:spacing w:val="-4"/>
          <w:sz w:val="32"/>
          <w:szCs w:val="32"/>
        </w:rPr>
        <w:t>万元，占</w:t>
      </w:r>
      <w:r>
        <w:rPr>
          <w:spacing w:val="-4"/>
          <w:sz w:val="32"/>
          <w:szCs w:val="32"/>
        </w:rPr>
        <w:t>91.67%</w:t>
      </w:r>
      <w:r>
        <w:rPr>
          <w:rFonts w:hAnsi="宋体"/>
          <w:spacing w:val="-4"/>
          <w:sz w:val="32"/>
          <w:szCs w:val="32"/>
        </w:rPr>
        <w:t>；公务接待费支出决算</w:t>
      </w:r>
      <w:r>
        <w:rPr>
          <w:spacing w:val="-4"/>
          <w:sz w:val="32"/>
          <w:szCs w:val="32"/>
        </w:rPr>
        <w:t>0.15</w:t>
      </w:r>
      <w:r>
        <w:rPr>
          <w:rFonts w:hAnsi="宋体"/>
          <w:spacing w:val="-4"/>
          <w:sz w:val="32"/>
          <w:szCs w:val="32"/>
        </w:rPr>
        <w:t>万元，占</w:t>
      </w:r>
      <w:r>
        <w:rPr>
          <w:spacing w:val="-4"/>
          <w:sz w:val="32"/>
          <w:szCs w:val="32"/>
        </w:rPr>
        <w:t>8.33%</w:t>
      </w:r>
      <w:r>
        <w:rPr>
          <w:rFonts w:hAnsi="宋体"/>
          <w:spacing w:val="-4"/>
          <w:sz w:val="32"/>
          <w:szCs w:val="32"/>
        </w:rPr>
        <w:t>。</w:t>
      </w:r>
    </w:p>
    <w:p>
      <w:pPr>
        <w:spacing w:line="560" w:lineRule="exact"/>
        <w:ind w:firstLine="641"/>
        <w:rPr>
          <w:spacing w:val="-4"/>
          <w:sz w:val="32"/>
          <w:szCs w:val="32"/>
        </w:rPr>
      </w:pPr>
      <w:r>
        <w:rPr>
          <w:spacing w:val="-4"/>
          <w:sz w:val="32"/>
          <w:szCs w:val="32"/>
        </w:rPr>
        <w:drawing>
          <wp:anchor distT="0" distB="0" distL="114300" distR="114300" simplePos="0" relativeHeight="251664384" behindDoc="0" locked="0" layoutInCell="1" allowOverlap="1">
            <wp:simplePos x="0" y="0"/>
            <wp:positionH relativeFrom="column">
              <wp:posOffset>821690</wp:posOffset>
            </wp:positionH>
            <wp:positionV relativeFrom="paragraph">
              <wp:posOffset>239395</wp:posOffset>
            </wp:positionV>
            <wp:extent cx="3942080" cy="2137410"/>
            <wp:effectExtent l="19050" t="0" r="20320" b="0"/>
            <wp:wrapTopAndBottom/>
            <wp:docPr id="23"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rFonts w:hAnsi="宋体"/>
          <w:spacing w:val="-4"/>
          <w:sz w:val="32"/>
          <w:szCs w:val="32"/>
        </w:rPr>
        <w:t>具体情况如下：</w:t>
      </w:r>
    </w:p>
    <w:p>
      <w:pPr>
        <w:spacing w:line="560" w:lineRule="exact"/>
        <w:ind w:firstLine="640"/>
        <w:rPr>
          <w:spacing w:val="-4"/>
          <w:sz w:val="32"/>
          <w:szCs w:val="32"/>
        </w:rPr>
      </w:pPr>
      <w:r>
        <w:rPr>
          <w:b/>
          <w:spacing w:val="-4"/>
          <w:sz w:val="32"/>
          <w:szCs w:val="32"/>
        </w:rPr>
        <w:t>1.</w:t>
      </w:r>
      <w:r>
        <w:rPr>
          <w:rFonts w:hAnsi="宋体"/>
          <w:b/>
          <w:spacing w:val="-4"/>
          <w:sz w:val="32"/>
          <w:szCs w:val="32"/>
        </w:rPr>
        <w:t>因公出国（境）经费支出</w:t>
      </w:r>
      <w:r>
        <w:rPr>
          <w:b/>
          <w:spacing w:val="-4"/>
          <w:sz w:val="32"/>
          <w:szCs w:val="32"/>
        </w:rPr>
        <w:t>0</w:t>
      </w:r>
      <w:r>
        <w:rPr>
          <w:rFonts w:hAnsi="宋体"/>
          <w:b/>
          <w:spacing w:val="-4"/>
          <w:sz w:val="32"/>
          <w:szCs w:val="32"/>
        </w:rPr>
        <w:t>万元</w:t>
      </w:r>
      <w:r>
        <w:rPr>
          <w:rFonts w:hAnsi="宋体"/>
          <w:spacing w:val="-4"/>
          <w:sz w:val="32"/>
          <w:szCs w:val="32"/>
        </w:rPr>
        <w:t>。</w:t>
      </w:r>
    </w:p>
    <w:p>
      <w:pPr>
        <w:spacing w:line="560" w:lineRule="exact"/>
        <w:ind w:firstLine="640"/>
        <w:rPr>
          <w:spacing w:val="-4"/>
          <w:sz w:val="32"/>
          <w:szCs w:val="32"/>
        </w:rPr>
      </w:pPr>
      <w:r>
        <w:rPr>
          <w:b/>
          <w:spacing w:val="-4"/>
          <w:sz w:val="32"/>
          <w:szCs w:val="32"/>
        </w:rPr>
        <w:t>2.</w:t>
      </w:r>
      <w:r>
        <w:rPr>
          <w:rFonts w:hAnsi="宋体"/>
          <w:b/>
          <w:spacing w:val="-4"/>
          <w:sz w:val="32"/>
          <w:szCs w:val="32"/>
        </w:rPr>
        <w:t>公务用车购置及运行维护费支出</w:t>
      </w:r>
      <w:r>
        <w:rPr>
          <w:b/>
          <w:spacing w:val="-4"/>
          <w:sz w:val="32"/>
          <w:szCs w:val="32"/>
        </w:rPr>
        <w:t>1.65</w:t>
      </w:r>
      <w:r>
        <w:rPr>
          <w:rFonts w:hAnsi="宋体"/>
          <w:b/>
          <w:spacing w:val="-4"/>
          <w:sz w:val="32"/>
          <w:szCs w:val="32"/>
        </w:rPr>
        <w:t>万元</w:t>
      </w:r>
      <w:r>
        <w:rPr>
          <w:spacing w:val="-4"/>
          <w:sz w:val="32"/>
          <w:szCs w:val="32"/>
        </w:rPr>
        <w:t>,</w:t>
      </w:r>
      <w:r>
        <w:rPr>
          <w:rStyle w:val="17"/>
          <w:rFonts w:hAnsi="宋体"/>
          <w:bCs/>
          <w:spacing w:val="-4"/>
          <w:sz w:val="32"/>
          <w:szCs w:val="32"/>
        </w:rPr>
        <w:t>完成预算</w:t>
      </w:r>
      <w:r>
        <w:rPr>
          <w:rStyle w:val="17"/>
          <w:bCs/>
          <w:spacing w:val="-4"/>
          <w:sz w:val="32"/>
          <w:szCs w:val="32"/>
        </w:rPr>
        <w:t>100%</w:t>
      </w:r>
      <w:r>
        <w:rPr>
          <w:rStyle w:val="17"/>
          <w:rFonts w:hAnsi="宋体"/>
          <w:bCs/>
          <w:spacing w:val="-4"/>
          <w:sz w:val="32"/>
          <w:szCs w:val="32"/>
        </w:rPr>
        <w:t>。</w:t>
      </w:r>
      <w:r>
        <w:rPr>
          <w:rFonts w:hAnsi="宋体"/>
          <w:spacing w:val="-4"/>
          <w:sz w:val="32"/>
          <w:szCs w:val="32"/>
        </w:rPr>
        <w:t>公务用车购置及运行维护费支出决算比</w:t>
      </w:r>
      <w:r>
        <w:rPr>
          <w:spacing w:val="-4"/>
          <w:sz w:val="32"/>
          <w:szCs w:val="32"/>
        </w:rPr>
        <w:t>2024</w:t>
      </w:r>
      <w:r>
        <w:rPr>
          <w:rFonts w:hAnsi="宋体"/>
          <w:spacing w:val="-4"/>
          <w:sz w:val="32"/>
          <w:szCs w:val="32"/>
        </w:rPr>
        <w:t>年度增加</w:t>
      </w:r>
      <w:r>
        <w:rPr>
          <w:spacing w:val="-4"/>
          <w:sz w:val="32"/>
          <w:szCs w:val="32"/>
        </w:rPr>
        <w:t>0.24</w:t>
      </w:r>
      <w:r>
        <w:rPr>
          <w:rFonts w:hAnsi="宋体"/>
          <w:spacing w:val="-4"/>
          <w:sz w:val="32"/>
          <w:szCs w:val="32"/>
        </w:rPr>
        <w:t>万元，增长</w:t>
      </w:r>
      <w:r>
        <w:rPr>
          <w:spacing w:val="-4"/>
          <w:sz w:val="32"/>
          <w:szCs w:val="32"/>
        </w:rPr>
        <w:t>17.02%</w:t>
      </w:r>
      <w:r>
        <w:rPr>
          <w:rFonts w:hAnsi="宋体"/>
          <w:spacing w:val="-4"/>
          <w:sz w:val="32"/>
          <w:szCs w:val="32"/>
        </w:rPr>
        <w:t>。主要是因为本年公务车维修费用增加。</w:t>
      </w:r>
    </w:p>
    <w:p>
      <w:pPr>
        <w:spacing w:line="560" w:lineRule="exact"/>
        <w:ind w:firstLine="624" w:firstLineChars="200"/>
        <w:rPr>
          <w:spacing w:val="-4"/>
          <w:sz w:val="32"/>
          <w:szCs w:val="32"/>
        </w:rPr>
      </w:pPr>
      <w:r>
        <w:rPr>
          <w:rFonts w:hAnsi="宋体"/>
          <w:spacing w:val="-4"/>
          <w:sz w:val="32"/>
          <w:szCs w:val="32"/>
        </w:rPr>
        <w:t>其中：公务用车购置支出</w:t>
      </w:r>
      <w:r>
        <w:rPr>
          <w:spacing w:val="-4"/>
          <w:sz w:val="32"/>
          <w:szCs w:val="32"/>
        </w:rPr>
        <w:t>0</w:t>
      </w:r>
      <w:r>
        <w:rPr>
          <w:rFonts w:hAnsi="宋体"/>
          <w:spacing w:val="-4"/>
          <w:sz w:val="32"/>
          <w:szCs w:val="32"/>
        </w:rPr>
        <w:t>万元。全年按规定更新购置公务用车</w:t>
      </w:r>
      <w:r>
        <w:rPr>
          <w:spacing w:val="-4"/>
          <w:sz w:val="32"/>
          <w:szCs w:val="32"/>
        </w:rPr>
        <w:t>0</w:t>
      </w:r>
      <w:r>
        <w:rPr>
          <w:rFonts w:hAnsi="宋体"/>
          <w:spacing w:val="-4"/>
          <w:sz w:val="32"/>
          <w:szCs w:val="32"/>
        </w:rPr>
        <w:t>辆。截至</w:t>
      </w:r>
      <w:r>
        <w:rPr>
          <w:spacing w:val="-4"/>
          <w:sz w:val="32"/>
          <w:szCs w:val="32"/>
        </w:rPr>
        <w:t>2025</w:t>
      </w:r>
      <w:r>
        <w:rPr>
          <w:rFonts w:hAnsi="宋体"/>
          <w:spacing w:val="-4"/>
          <w:sz w:val="32"/>
          <w:szCs w:val="32"/>
        </w:rPr>
        <w:t>年</w:t>
      </w:r>
      <w:r>
        <w:rPr>
          <w:spacing w:val="-4"/>
          <w:sz w:val="32"/>
          <w:szCs w:val="32"/>
        </w:rPr>
        <w:t>12</w:t>
      </w:r>
      <w:r>
        <w:rPr>
          <w:rFonts w:hAnsi="宋体"/>
          <w:spacing w:val="-4"/>
          <w:sz w:val="32"/>
          <w:szCs w:val="32"/>
        </w:rPr>
        <w:t>月底，单位共有公务用车</w:t>
      </w:r>
      <w:r>
        <w:rPr>
          <w:spacing w:val="-4"/>
          <w:sz w:val="32"/>
          <w:szCs w:val="32"/>
        </w:rPr>
        <w:t>1</w:t>
      </w:r>
      <w:r>
        <w:rPr>
          <w:rFonts w:hAnsi="宋体"/>
          <w:spacing w:val="-4"/>
          <w:sz w:val="32"/>
          <w:szCs w:val="32"/>
        </w:rPr>
        <w:t>辆，其中：轿车</w:t>
      </w:r>
      <w:r>
        <w:rPr>
          <w:spacing w:val="-4"/>
          <w:sz w:val="32"/>
          <w:szCs w:val="32"/>
        </w:rPr>
        <w:t>0</w:t>
      </w:r>
      <w:r>
        <w:rPr>
          <w:rFonts w:hAnsi="宋体"/>
          <w:spacing w:val="-4"/>
          <w:sz w:val="32"/>
          <w:szCs w:val="32"/>
        </w:rPr>
        <w:t>辆、越野车</w:t>
      </w:r>
      <w:r>
        <w:rPr>
          <w:spacing w:val="-4"/>
          <w:sz w:val="32"/>
          <w:szCs w:val="32"/>
        </w:rPr>
        <w:t>0</w:t>
      </w:r>
      <w:r>
        <w:rPr>
          <w:rFonts w:hAnsi="宋体"/>
          <w:spacing w:val="-4"/>
          <w:sz w:val="32"/>
          <w:szCs w:val="32"/>
        </w:rPr>
        <w:t>辆、载客汽车</w:t>
      </w:r>
      <w:r>
        <w:rPr>
          <w:spacing w:val="-4"/>
          <w:sz w:val="32"/>
          <w:szCs w:val="32"/>
        </w:rPr>
        <w:t>1</w:t>
      </w:r>
      <w:r>
        <w:rPr>
          <w:rFonts w:hAnsi="宋体"/>
          <w:spacing w:val="-4"/>
          <w:sz w:val="32"/>
          <w:szCs w:val="32"/>
        </w:rPr>
        <w:t>辆、特种车辆</w:t>
      </w:r>
      <w:r>
        <w:rPr>
          <w:spacing w:val="-4"/>
          <w:sz w:val="32"/>
          <w:szCs w:val="32"/>
        </w:rPr>
        <w:t>0</w:t>
      </w:r>
      <w:r>
        <w:rPr>
          <w:rFonts w:hAnsi="宋体"/>
          <w:spacing w:val="-4"/>
          <w:sz w:val="32"/>
          <w:szCs w:val="32"/>
        </w:rPr>
        <w:t>辆。</w:t>
      </w:r>
    </w:p>
    <w:p>
      <w:pPr>
        <w:spacing w:line="560" w:lineRule="exact"/>
        <w:ind w:firstLine="640"/>
        <w:rPr>
          <w:spacing w:val="-4"/>
          <w:sz w:val="32"/>
          <w:szCs w:val="32"/>
        </w:rPr>
      </w:pPr>
      <w:r>
        <w:rPr>
          <w:rFonts w:hAnsi="宋体"/>
          <w:spacing w:val="-4"/>
          <w:sz w:val="32"/>
          <w:szCs w:val="32"/>
        </w:rPr>
        <w:t>公务用车运行维护费支出</w:t>
      </w:r>
      <w:r>
        <w:rPr>
          <w:spacing w:val="-4"/>
          <w:sz w:val="32"/>
          <w:szCs w:val="32"/>
        </w:rPr>
        <w:t>1.65</w:t>
      </w:r>
      <w:r>
        <w:rPr>
          <w:rFonts w:hAnsi="宋体"/>
          <w:spacing w:val="-4"/>
          <w:sz w:val="32"/>
          <w:szCs w:val="32"/>
        </w:rPr>
        <w:t>万元。主要用于水保监测所需的公务用车燃料费、维修费、过路过桥费、保险费等支出。</w:t>
      </w:r>
    </w:p>
    <w:p>
      <w:pPr>
        <w:widowControl/>
        <w:spacing w:line="560" w:lineRule="exact"/>
        <w:ind w:firstLine="626" w:firstLineChars="200"/>
        <w:jc w:val="left"/>
        <w:rPr>
          <w:spacing w:val="-4"/>
          <w:sz w:val="32"/>
          <w:szCs w:val="32"/>
        </w:rPr>
      </w:pPr>
      <w:r>
        <w:rPr>
          <w:b/>
          <w:spacing w:val="-4"/>
          <w:sz w:val="32"/>
          <w:szCs w:val="32"/>
        </w:rPr>
        <w:t>3.</w:t>
      </w:r>
      <w:r>
        <w:rPr>
          <w:rFonts w:hAnsi="宋体"/>
          <w:b/>
          <w:spacing w:val="-4"/>
          <w:sz w:val="32"/>
          <w:szCs w:val="32"/>
        </w:rPr>
        <w:t>公务接待费支出</w:t>
      </w:r>
      <w:r>
        <w:rPr>
          <w:b/>
          <w:spacing w:val="-4"/>
          <w:sz w:val="32"/>
          <w:szCs w:val="32"/>
        </w:rPr>
        <w:t>0.15</w:t>
      </w:r>
      <w:r>
        <w:rPr>
          <w:rFonts w:hAnsi="宋体"/>
          <w:b/>
          <w:spacing w:val="-4"/>
          <w:sz w:val="32"/>
          <w:szCs w:val="32"/>
        </w:rPr>
        <w:t>万元，完成预算</w:t>
      </w:r>
      <w:r>
        <w:rPr>
          <w:b/>
          <w:spacing w:val="-4"/>
          <w:sz w:val="32"/>
          <w:szCs w:val="32"/>
        </w:rPr>
        <w:t>100%</w:t>
      </w:r>
      <w:r>
        <w:rPr>
          <w:rFonts w:hAnsi="宋体"/>
          <w:b/>
          <w:spacing w:val="-4"/>
          <w:sz w:val="32"/>
          <w:szCs w:val="32"/>
        </w:rPr>
        <w:t>。</w:t>
      </w:r>
      <w:r>
        <w:rPr>
          <w:rFonts w:hAnsi="宋体"/>
          <w:spacing w:val="-4"/>
          <w:sz w:val="32"/>
          <w:szCs w:val="32"/>
        </w:rPr>
        <w:t>公务接待费支出决算比</w:t>
      </w:r>
      <w:r>
        <w:rPr>
          <w:spacing w:val="-4"/>
          <w:sz w:val="32"/>
          <w:szCs w:val="32"/>
        </w:rPr>
        <w:t>2024</w:t>
      </w:r>
      <w:r>
        <w:rPr>
          <w:rFonts w:hAnsi="宋体"/>
          <w:spacing w:val="-4"/>
          <w:sz w:val="32"/>
          <w:szCs w:val="32"/>
        </w:rPr>
        <w:t>年度增加</w:t>
      </w:r>
      <w:r>
        <w:rPr>
          <w:spacing w:val="-4"/>
          <w:sz w:val="32"/>
          <w:szCs w:val="32"/>
        </w:rPr>
        <w:t>0.15</w:t>
      </w:r>
      <w:r>
        <w:rPr>
          <w:rFonts w:hAnsi="宋体"/>
          <w:spacing w:val="-4"/>
          <w:sz w:val="32"/>
          <w:szCs w:val="32"/>
        </w:rPr>
        <w:t>万元，增长</w:t>
      </w:r>
      <w:r>
        <w:rPr>
          <w:spacing w:val="-4"/>
          <w:sz w:val="32"/>
          <w:szCs w:val="32"/>
        </w:rPr>
        <w:t>100%</w:t>
      </w:r>
      <w:r>
        <w:rPr>
          <w:rFonts w:hAnsi="宋体"/>
          <w:spacing w:val="-4"/>
          <w:sz w:val="32"/>
          <w:szCs w:val="32"/>
        </w:rPr>
        <w:t>。主要原因是我单位</w:t>
      </w:r>
      <w:r>
        <w:rPr>
          <w:spacing w:val="-4"/>
          <w:sz w:val="32"/>
          <w:szCs w:val="32"/>
        </w:rPr>
        <w:t>2024</w:t>
      </w:r>
      <w:r>
        <w:rPr>
          <w:rFonts w:hAnsi="宋体"/>
          <w:spacing w:val="-4"/>
          <w:sz w:val="32"/>
          <w:szCs w:val="32"/>
        </w:rPr>
        <w:t>年未发生公务接待。其中：</w:t>
      </w:r>
    </w:p>
    <w:p>
      <w:pPr>
        <w:widowControl/>
        <w:spacing w:line="560" w:lineRule="exact"/>
        <w:ind w:firstLine="624" w:firstLineChars="200"/>
        <w:jc w:val="left"/>
        <w:rPr>
          <w:spacing w:val="-4"/>
          <w:sz w:val="32"/>
          <w:szCs w:val="32"/>
        </w:rPr>
      </w:pPr>
      <w:r>
        <w:rPr>
          <w:rFonts w:hAnsi="宋体"/>
          <w:spacing w:val="-4"/>
          <w:sz w:val="32"/>
          <w:szCs w:val="32"/>
        </w:rPr>
        <w:t>国内公务接待支出</w:t>
      </w:r>
      <w:r>
        <w:rPr>
          <w:spacing w:val="-4"/>
          <w:sz w:val="32"/>
          <w:szCs w:val="32"/>
        </w:rPr>
        <w:t>0.15</w:t>
      </w:r>
      <w:r>
        <w:rPr>
          <w:rFonts w:hAnsi="宋体"/>
          <w:spacing w:val="-4"/>
          <w:sz w:val="32"/>
          <w:szCs w:val="32"/>
        </w:rPr>
        <w:t>万元，主要用于执行公务、开展业务活动开支的用餐费。</w:t>
      </w:r>
      <w:r>
        <w:rPr>
          <w:spacing w:val="-4"/>
          <w:sz w:val="32"/>
          <w:szCs w:val="32"/>
        </w:rPr>
        <w:t>2025</w:t>
      </w:r>
      <w:r>
        <w:rPr>
          <w:rFonts w:hAnsi="宋体"/>
          <w:spacing w:val="-4"/>
          <w:sz w:val="32"/>
          <w:szCs w:val="32"/>
        </w:rPr>
        <w:t>年度共接待</w:t>
      </w:r>
      <w:r>
        <w:rPr>
          <w:spacing w:val="-4"/>
          <w:sz w:val="32"/>
          <w:szCs w:val="32"/>
        </w:rPr>
        <w:t>1</w:t>
      </w:r>
      <w:r>
        <w:rPr>
          <w:rFonts w:hAnsi="宋体"/>
          <w:spacing w:val="-4"/>
          <w:sz w:val="32"/>
          <w:szCs w:val="32"/>
        </w:rPr>
        <w:t>批次，共计</w:t>
      </w:r>
      <w:r>
        <w:rPr>
          <w:spacing w:val="-4"/>
          <w:sz w:val="32"/>
          <w:szCs w:val="32"/>
        </w:rPr>
        <w:t>9</w:t>
      </w:r>
      <w:r>
        <w:rPr>
          <w:rFonts w:hAnsi="宋体"/>
          <w:spacing w:val="-4"/>
          <w:sz w:val="32"/>
          <w:szCs w:val="32"/>
        </w:rPr>
        <w:t>人，主要为珠江水文水资源中心开展观测站设计交底交桩等接待费。</w:t>
      </w:r>
    </w:p>
    <w:p>
      <w:pPr>
        <w:spacing w:line="560" w:lineRule="exact"/>
        <w:ind w:firstLine="641"/>
        <w:outlineLvl w:val="1"/>
        <w:rPr>
          <w:rStyle w:val="30"/>
          <w:rFonts w:ascii="Times New Roman" w:hAnsi="Times New Roman" w:eastAsia="宋体" w:cs="Times New Roman"/>
          <w:spacing w:val="-4"/>
        </w:rPr>
      </w:pPr>
      <w:bookmarkStart w:id="68" w:name="_Toc15377218"/>
      <w:bookmarkStart w:id="69" w:name="_Toc15396610"/>
      <w:bookmarkStart w:id="70" w:name="_Toc10318"/>
      <w:r>
        <w:rPr>
          <w:rFonts w:hAnsi="宋体"/>
          <w:spacing w:val="-4"/>
          <w:sz w:val="32"/>
          <w:szCs w:val="32"/>
        </w:rPr>
        <w:t>八、</w:t>
      </w:r>
      <w:r>
        <w:rPr>
          <w:rStyle w:val="30"/>
          <w:rFonts w:ascii="Times New Roman" w:hAnsi="宋体" w:eastAsia="宋体" w:cs="Times New Roman"/>
          <w:b w:val="0"/>
          <w:spacing w:val="-4"/>
        </w:rPr>
        <w:t>政府性基金预算支出决算情况说明</w:t>
      </w:r>
      <w:bookmarkEnd w:id="68"/>
      <w:bookmarkEnd w:id="69"/>
      <w:bookmarkEnd w:id="70"/>
    </w:p>
    <w:p>
      <w:pPr>
        <w:widowControl/>
        <w:spacing w:line="560" w:lineRule="exact"/>
        <w:ind w:firstLine="624" w:firstLineChars="200"/>
        <w:jc w:val="left"/>
        <w:rPr>
          <w:spacing w:val="-4"/>
          <w:sz w:val="32"/>
          <w:szCs w:val="32"/>
        </w:rPr>
      </w:pPr>
      <w:r>
        <w:rPr>
          <w:spacing w:val="-4"/>
          <w:sz w:val="32"/>
          <w:szCs w:val="32"/>
        </w:rPr>
        <w:t>2025</w:t>
      </w:r>
      <w:r>
        <w:rPr>
          <w:rFonts w:hAnsi="宋体"/>
          <w:spacing w:val="-4"/>
          <w:sz w:val="32"/>
          <w:szCs w:val="32"/>
        </w:rPr>
        <w:t>年度政府性基金预算财政拨款支出</w:t>
      </w:r>
      <w:r>
        <w:rPr>
          <w:spacing w:val="-4"/>
          <w:sz w:val="32"/>
          <w:szCs w:val="32"/>
        </w:rPr>
        <w:t>1</w:t>
      </w:r>
      <w:r>
        <w:rPr>
          <w:rFonts w:hAnsi="宋体"/>
          <w:spacing w:val="-4"/>
          <w:sz w:val="32"/>
          <w:szCs w:val="32"/>
        </w:rPr>
        <w:t>万元，占本年支出合计的</w:t>
      </w:r>
      <w:r>
        <w:rPr>
          <w:spacing w:val="-4"/>
          <w:sz w:val="32"/>
          <w:szCs w:val="32"/>
        </w:rPr>
        <w:t>0.6%</w:t>
      </w:r>
      <w:r>
        <w:rPr>
          <w:rFonts w:hAnsi="宋体"/>
          <w:spacing w:val="-4"/>
          <w:sz w:val="32"/>
          <w:szCs w:val="32"/>
        </w:rPr>
        <w:t>。与</w:t>
      </w:r>
      <w:r>
        <w:rPr>
          <w:spacing w:val="-4"/>
          <w:sz w:val="32"/>
          <w:szCs w:val="32"/>
        </w:rPr>
        <w:t>2024</w:t>
      </w:r>
      <w:r>
        <w:rPr>
          <w:rFonts w:hAnsi="宋体"/>
          <w:spacing w:val="-4"/>
          <w:sz w:val="32"/>
          <w:szCs w:val="32"/>
        </w:rPr>
        <w:t>年度相比，政府性基金预算财政拨款支出减少</w:t>
      </w:r>
      <w:r>
        <w:rPr>
          <w:spacing w:val="-4"/>
          <w:sz w:val="32"/>
          <w:szCs w:val="32"/>
        </w:rPr>
        <w:t>5.77</w:t>
      </w:r>
      <w:r>
        <w:rPr>
          <w:rFonts w:hAnsi="宋体"/>
          <w:spacing w:val="-4"/>
          <w:sz w:val="32"/>
          <w:szCs w:val="32"/>
        </w:rPr>
        <w:t>万元，下降</w:t>
      </w:r>
      <w:r>
        <w:rPr>
          <w:spacing w:val="-4"/>
          <w:sz w:val="32"/>
          <w:szCs w:val="32"/>
        </w:rPr>
        <w:t>85.23%</w:t>
      </w:r>
      <w:r>
        <w:rPr>
          <w:rFonts w:hAnsi="宋体"/>
          <w:spacing w:val="-4"/>
          <w:sz w:val="32"/>
          <w:szCs w:val="32"/>
        </w:rPr>
        <w:t>。主要变动原因是单位项目支出减少。</w:t>
      </w:r>
    </w:p>
    <w:p>
      <w:pPr>
        <w:spacing w:line="560" w:lineRule="exact"/>
        <w:ind w:firstLine="641"/>
        <w:outlineLvl w:val="1"/>
        <w:rPr>
          <w:spacing w:val="-4"/>
          <w:sz w:val="32"/>
          <w:szCs w:val="32"/>
        </w:rPr>
      </w:pPr>
      <w:bookmarkStart w:id="71" w:name="_Toc15396611"/>
      <w:bookmarkStart w:id="72" w:name="_Toc15377219"/>
      <w:bookmarkStart w:id="73" w:name="_Toc21015"/>
      <w:r>
        <w:rPr>
          <w:rFonts w:hAnsi="宋体"/>
          <w:spacing w:val="-4"/>
          <w:sz w:val="32"/>
          <w:szCs w:val="32"/>
        </w:rPr>
        <w:t>九、国有资本经营预算支出决算情况说明</w:t>
      </w:r>
      <w:bookmarkEnd w:id="71"/>
      <w:bookmarkEnd w:id="72"/>
      <w:bookmarkEnd w:id="73"/>
    </w:p>
    <w:p>
      <w:pPr>
        <w:widowControl/>
        <w:spacing w:line="560" w:lineRule="exact"/>
        <w:ind w:firstLine="624" w:firstLineChars="200"/>
        <w:jc w:val="left"/>
        <w:rPr>
          <w:spacing w:val="-4"/>
          <w:sz w:val="32"/>
          <w:szCs w:val="32"/>
        </w:rPr>
      </w:pPr>
      <w:r>
        <w:rPr>
          <w:spacing w:val="-4"/>
          <w:sz w:val="32"/>
          <w:szCs w:val="32"/>
        </w:rPr>
        <w:t>2025</w:t>
      </w:r>
      <w:r>
        <w:rPr>
          <w:rFonts w:hAnsi="宋体"/>
          <w:spacing w:val="-4"/>
          <w:sz w:val="32"/>
          <w:szCs w:val="32"/>
        </w:rPr>
        <w:t>年度国有资本经营预算财政拨款支出</w:t>
      </w:r>
      <w:r>
        <w:rPr>
          <w:spacing w:val="-4"/>
          <w:sz w:val="32"/>
          <w:szCs w:val="32"/>
        </w:rPr>
        <w:t>0</w:t>
      </w:r>
      <w:r>
        <w:rPr>
          <w:rFonts w:hAnsi="宋体"/>
          <w:spacing w:val="-4"/>
          <w:sz w:val="32"/>
          <w:szCs w:val="32"/>
        </w:rPr>
        <w:t>万元。</w:t>
      </w:r>
    </w:p>
    <w:p>
      <w:pPr>
        <w:spacing w:line="560" w:lineRule="exact"/>
        <w:ind w:firstLine="624" w:firstLineChars="200"/>
        <w:outlineLvl w:val="1"/>
        <w:rPr>
          <w:rStyle w:val="30"/>
          <w:rFonts w:ascii="Times New Roman" w:hAnsi="Times New Roman" w:eastAsia="宋体" w:cs="Times New Roman"/>
          <w:b w:val="0"/>
          <w:spacing w:val="-4"/>
        </w:rPr>
      </w:pPr>
      <w:bookmarkStart w:id="74" w:name="_Toc15377221"/>
      <w:bookmarkStart w:id="75" w:name="_Toc8230"/>
      <w:bookmarkStart w:id="76" w:name="_Toc15396612"/>
      <w:r>
        <w:rPr>
          <w:rStyle w:val="30"/>
          <w:rFonts w:ascii="Times New Roman" w:hAnsi="宋体" w:eastAsia="宋体" w:cs="Times New Roman"/>
          <w:b w:val="0"/>
          <w:spacing w:val="-4"/>
        </w:rPr>
        <w:t>十、其他重要事项的情况说明</w:t>
      </w:r>
      <w:bookmarkEnd w:id="74"/>
      <w:bookmarkEnd w:id="75"/>
      <w:bookmarkEnd w:id="76"/>
    </w:p>
    <w:p>
      <w:pPr>
        <w:autoSpaceDE w:val="0"/>
        <w:autoSpaceDN w:val="0"/>
        <w:adjustRightInd w:val="0"/>
        <w:spacing w:line="560" w:lineRule="exact"/>
        <w:ind w:firstLine="626" w:firstLineChars="200"/>
        <w:jc w:val="left"/>
        <w:rPr>
          <w:b/>
          <w:spacing w:val="-4"/>
          <w:sz w:val="32"/>
          <w:szCs w:val="32"/>
        </w:rPr>
      </w:pPr>
      <w:bookmarkStart w:id="77" w:name="_Toc15377222"/>
      <w:r>
        <w:rPr>
          <w:rFonts w:hAnsi="宋体"/>
          <w:b/>
          <w:spacing w:val="-4"/>
          <w:sz w:val="32"/>
          <w:szCs w:val="32"/>
        </w:rPr>
        <w:t>（一）机关运行经费支出情况</w:t>
      </w:r>
      <w:bookmarkEnd w:id="77"/>
    </w:p>
    <w:p>
      <w:pPr>
        <w:widowControl/>
        <w:spacing w:line="560" w:lineRule="exact"/>
        <w:ind w:firstLine="624" w:firstLineChars="200"/>
        <w:jc w:val="left"/>
        <w:rPr>
          <w:spacing w:val="-4"/>
          <w:sz w:val="32"/>
          <w:szCs w:val="32"/>
        </w:rPr>
      </w:pPr>
      <w:r>
        <w:rPr>
          <w:spacing w:val="-4"/>
          <w:sz w:val="32"/>
          <w:szCs w:val="32"/>
        </w:rPr>
        <w:t>2025</w:t>
      </w:r>
      <w:r>
        <w:rPr>
          <w:rFonts w:hAnsi="宋体"/>
          <w:spacing w:val="-4"/>
          <w:sz w:val="32"/>
          <w:szCs w:val="32"/>
        </w:rPr>
        <w:t>年度，攀枝花市水土保持生态环境监测分站机关运行经费支出</w:t>
      </w:r>
      <w:r>
        <w:rPr>
          <w:spacing w:val="-4"/>
          <w:sz w:val="32"/>
          <w:szCs w:val="32"/>
        </w:rPr>
        <w:t>0</w:t>
      </w:r>
      <w:r>
        <w:rPr>
          <w:rFonts w:hAnsi="宋体"/>
          <w:spacing w:val="-4"/>
          <w:sz w:val="32"/>
          <w:szCs w:val="32"/>
        </w:rPr>
        <w:t>万元，与</w:t>
      </w:r>
      <w:r>
        <w:rPr>
          <w:spacing w:val="-4"/>
          <w:sz w:val="32"/>
          <w:szCs w:val="32"/>
        </w:rPr>
        <w:t>2024</w:t>
      </w:r>
      <w:r>
        <w:rPr>
          <w:rFonts w:hAnsi="宋体"/>
          <w:spacing w:val="-4"/>
          <w:sz w:val="32"/>
          <w:szCs w:val="32"/>
        </w:rPr>
        <w:t>年度决算数持平。</w:t>
      </w:r>
    </w:p>
    <w:p>
      <w:pPr>
        <w:autoSpaceDE w:val="0"/>
        <w:autoSpaceDN w:val="0"/>
        <w:adjustRightInd w:val="0"/>
        <w:spacing w:line="560" w:lineRule="exact"/>
        <w:ind w:firstLine="626" w:firstLineChars="200"/>
        <w:jc w:val="left"/>
        <w:rPr>
          <w:b/>
          <w:spacing w:val="-4"/>
          <w:sz w:val="32"/>
          <w:szCs w:val="32"/>
        </w:rPr>
      </w:pPr>
      <w:bookmarkStart w:id="78" w:name="_Toc15377223"/>
      <w:r>
        <w:rPr>
          <w:rFonts w:hAnsi="宋体"/>
          <w:b/>
          <w:spacing w:val="-4"/>
          <w:sz w:val="32"/>
          <w:szCs w:val="32"/>
        </w:rPr>
        <w:t>（二）政府采购支出情况</w:t>
      </w:r>
      <w:bookmarkEnd w:id="78"/>
    </w:p>
    <w:p>
      <w:pPr>
        <w:widowControl/>
        <w:spacing w:line="560" w:lineRule="exact"/>
        <w:ind w:firstLine="624" w:firstLineChars="200"/>
        <w:jc w:val="left"/>
        <w:rPr>
          <w:spacing w:val="-4"/>
          <w:sz w:val="32"/>
          <w:szCs w:val="32"/>
        </w:rPr>
      </w:pPr>
      <w:r>
        <w:rPr>
          <w:spacing w:val="-4"/>
          <w:sz w:val="32"/>
          <w:szCs w:val="32"/>
        </w:rPr>
        <w:t>2025</w:t>
      </w:r>
      <w:r>
        <w:rPr>
          <w:rFonts w:hAnsi="宋体"/>
          <w:spacing w:val="-4"/>
          <w:sz w:val="32"/>
          <w:szCs w:val="32"/>
        </w:rPr>
        <w:t>年度，攀枝花市水土保持生态环境监测分站政府采购支出总额</w:t>
      </w:r>
      <w:r>
        <w:rPr>
          <w:spacing w:val="-4"/>
          <w:sz w:val="32"/>
          <w:szCs w:val="32"/>
        </w:rPr>
        <w:t>1.6</w:t>
      </w:r>
      <w:r>
        <w:rPr>
          <w:rFonts w:hAnsi="宋体"/>
          <w:spacing w:val="-4"/>
          <w:sz w:val="32"/>
          <w:szCs w:val="32"/>
        </w:rPr>
        <w:t>万元，其中政府采购服务支出</w:t>
      </w:r>
      <w:r>
        <w:rPr>
          <w:spacing w:val="-4"/>
          <w:sz w:val="32"/>
          <w:szCs w:val="32"/>
        </w:rPr>
        <w:t>1.6</w:t>
      </w:r>
      <w:r>
        <w:rPr>
          <w:rFonts w:hAnsi="宋体"/>
          <w:spacing w:val="-4"/>
          <w:sz w:val="32"/>
          <w:szCs w:val="32"/>
        </w:rPr>
        <w:t>万元。主要用于公务用车等所需的公务用车燃料费、维修费、保险费等支出。授予中小企业合同金额</w:t>
      </w:r>
      <w:r>
        <w:rPr>
          <w:spacing w:val="-4"/>
          <w:sz w:val="32"/>
          <w:szCs w:val="32"/>
        </w:rPr>
        <w:t>1.6</w:t>
      </w:r>
      <w:r>
        <w:rPr>
          <w:rFonts w:hAnsi="宋体"/>
          <w:spacing w:val="-4"/>
          <w:sz w:val="32"/>
          <w:szCs w:val="32"/>
        </w:rPr>
        <w:t>万元，占政府采购支出总额的</w:t>
      </w:r>
      <w:r>
        <w:rPr>
          <w:spacing w:val="-4"/>
          <w:sz w:val="32"/>
          <w:szCs w:val="32"/>
        </w:rPr>
        <w:t>100%</w:t>
      </w:r>
      <w:r>
        <w:rPr>
          <w:rFonts w:hAnsi="宋体"/>
          <w:spacing w:val="-4"/>
          <w:sz w:val="32"/>
          <w:szCs w:val="32"/>
        </w:rPr>
        <w:t>，其中：授予小微企业合同金额</w:t>
      </w:r>
      <w:r>
        <w:rPr>
          <w:spacing w:val="-4"/>
          <w:sz w:val="32"/>
          <w:szCs w:val="32"/>
        </w:rPr>
        <w:t>0.4</w:t>
      </w:r>
      <w:r>
        <w:rPr>
          <w:rFonts w:hAnsi="宋体"/>
          <w:spacing w:val="-4"/>
          <w:sz w:val="32"/>
          <w:szCs w:val="32"/>
        </w:rPr>
        <w:t>万元，占政府采购支出总额的</w:t>
      </w:r>
      <w:r>
        <w:rPr>
          <w:spacing w:val="-4"/>
          <w:sz w:val="32"/>
          <w:szCs w:val="32"/>
        </w:rPr>
        <w:t>25%</w:t>
      </w:r>
      <w:r>
        <w:rPr>
          <w:rFonts w:hAnsi="宋体"/>
          <w:spacing w:val="-4"/>
          <w:sz w:val="32"/>
          <w:szCs w:val="32"/>
        </w:rPr>
        <w:t>。</w:t>
      </w:r>
    </w:p>
    <w:p>
      <w:pPr>
        <w:autoSpaceDE w:val="0"/>
        <w:autoSpaceDN w:val="0"/>
        <w:adjustRightInd w:val="0"/>
        <w:spacing w:line="560" w:lineRule="exact"/>
        <w:ind w:firstLine="626" w:firstLineChars="200"/>
        <w:jc w:val="left"/>
        <w:rPr>
          <w:b/>
          <w:spacing w:val="-4"/>
          <w:sz w:val="32"/>
          <w:szCs w:val="32"/>
        </w:rPr>
      </w:pPr>
      <w:bookmarkStart w:id="79" w:name="_Toc15377224"/>
      <w:r>
        <w:rPr>
          <w:rFonts w:hAnsi="宋体"/>
          <w:b/>
          <w:spacing w:val="-4"/>
          <w:sz w:val="32"/>
          <w:szCs w:val="32"/>
        </w:rPr>
        <w:t>（三）国有资产占有使用情况</w:t>
      </w:r>
      <w:bookmarkEnd w:id="79"/>
    </w:p>
    <w:p>
      <w:pPr>
        <w:widowControl/>
        <w:spacing w:line="560" w:lineRule="exact"/>
        <w:ind w:firstLine="624" w:firstLineChars="200"/>
        <w:jc w:val="left"/>
        <w:rPr>
          <w:spacing w:val="-4"/>
          <w:sz w:val="32"/>
          <w:szCs w:val="32"/>
        </w:rPr>
      </w:pPr>
      <w:r>
        <w:rPr>
          <w:rFonts w:hAnsi="宋体"/>
          <w:spacing w:val="-4"/>
          <w:sz w:val="32"/>
          <w:szCs w:val="32"/>
        </w:rPr>
        <w:t>截至</w:t>
      </w:r>
      <w:r>
        <w:rPr>
          <w:spacing w:val="-4"/>
          <w:sz w:val="32"/>
          <w:szCs w:val="32"/>
        </w:rPr>
        <w:t>2025</w:t>
      </w:r>
      <w:r>
        <w:rPr>
          <w:rFonts w:hAnsi="宋体"/>
          <w:spacing w:val="-4"/>
          <w:sz w:val="32"/>
          <w:szCs w:val="32"/>
        </w:rPr>
        <w:t>年</w:t>
      </w:r>
      <w:r>
        <w:rPr>
          <w:spacing w:val="-4"/>
          <w:sz w:val="32"/>
          <w:szCs w:val="32"/>
        </w:rPr>
        <w:t>12</w:t>
      </w:r>
      <w:r>
        <w:rPr>
          <w:rFonts w:hAnsi="宋体"/>
          <w:spacing w:val="-4"/>
          <w:sz w:val="32"/>
          <w:szCs w:val="32"/>
        </w:rPr>
        <w:t>月</w:t>
      </w:r>
      <w:r>
        <w:rPr>
          <w:spacing w:val="-4"/>
          <w:sz w:val="32"/>
          <w:szCs w:val="32"/>
        </w:rPr>
        <w:t>31</w:t>
      </w:r>
      <w:r>
        <w:rPr>
          <w:rFonts w:hAnsi="宋体"/>
          <w:spacing w:val="-4"/>
          <w:sz w:val="32"/>
          <w:szCs w:val="32"/>
        </w:rPr>
        <w:t>日，共有车辆</w:t>
      </w:r>
      <w:r>
        <w:rPr>
          <w:spacing w:val="-4"/>
          <w:sz w:val="32"/>
          <w:szCs w:val="32"/>
        </w:rPr>
        <w:t>1</w:t>
      </w:r>
      <w:r>
        <w:rPr>
          <w:rFonts w:hAnsi="宋体"/>
          <w:spacing w:val="-4"/>
          <w:sz w:val="32"/>
          <w:szCs w:val="32"/>
        </w:rPr>
        <w:t>辆，其中：主要负责人用车</w:t>
      </w:r>
      <w:r>
        <w:rPr>
          <w:spacing w:val="-4"/>
          <w:sz w:val="32"/>
          <w:szCs w:val="32"/>
        </w:rPr>
        <w:t>0</w:t>
      </w:r>
      <w:r>
        <w:rPr>
          <w:rFonts w:hAnsi="宋体"/>
          <w:spacing w:val="-4"/>
          <w:sz w:val="32"/>
          <w:szCs w:val="32"/>
        </w:rPr>
        <w:t>辆、机要通信用车</w:t>
      </w:r>
      <w:r>
        <w:rPr>
          <w:spacing w:val="-4"/>
          <w:sz w:val="32"/>
          <w:szCs w:val="32"/>
        </w:rPr>
        <w:t>0</w:t>
      </w:r>
      <w:r>
        <w:rPr>
          <w:rFonts w:hAnsi="宋体"/>
          <w:spacing w:val="-4"/>
          <w:sz w:val="32"/>
          <w:szCs w:val="32"/>
        </w:rPr>
        <w:t>辆、应急保障用车</w:t>
      </w:r>
      <w:r>
        <w:rPr>
          <w:spacing w:val="-4"/>
          <w:sz w:val="32"/>
          <w:szCs w:val="32"/>
        </w:rPr>
        <w:t>0</w:t>
      </w:r>
      <w:r>
        <w:rPr>
          <w:rFonts w:hAnsi="宋体"/>
          <w:spacing w:val="-4"/>
          <w:sz w:val="32"/>
          <w:szCs w:val="32"/>
        </w:rPr>
        <w:t>辆、其他用车</w:t>
      </w:r>
      <w:r>
        <w:rPr>
          <w:spacing w:val="-4"/>
          <w:sz w:val="32"/>
          <w:szCs w:val="32"/>
        </w:rPr>
        <w:t>1</w:t>
      </w:r>
      <w:r>
        <w:rPr>
          <w:rFonts w:hAnsi="宋体"/>
          <w:spacing w:val="-4"/>
          <w:sz w:val="32"/>
          <w:szCs w:val="32"/>
        </w:rPr>
        <w:t>辆，</w:t>
      </w:r>
      <w:r>
        <w:rPr>
          <w:spacing w:val="-4"/>
          <w:sz w:val="32"/>
          <w:szCs w:val="32"/>
        </w:rPr>
        <w:t>1</w:t>
      </w:r>
      <w:r>
        <w:rPr>
          <w:rFonts w:hAnsi="宋体"/>
          <w:spacing w:val="-4"/>
          <w:sz w:val="32"/>
          <w:szCs w:val="32"/>
        </w:rPr>
        <w:t>辆皮卡车主要是用于下乡及站上日常工作开展。单价</w:t>
      </w:r>
      <w:r>
        <w:rPr>
          <w:spacing w:val="-4"/>
          <w:sz w:val="32"/>
          <w:szCs w:val="32"/>
        </w:rPr>
        <w:t>100</w:t>
      </w:r>
      <w:r>
        <w:rPr>
          <w:rFonts w:hAnsi="宋体"/>
          <w:spacing w:val="-4"/>
          <w:sz w:val="32"/>
          <w:szCs w:val="32"/>
        </w:rPr>
        <w:t>万元（含）以上设备（不含车辆）</w:t>
      </w:r>
      <w:r>
        <w:rPr>
          <w:spacing w:val="-4"/>
          <w:sz w:val="32"/>
          <w:szCs w:val="32"/>
        </w:rPr>
        <w:t>0</w:t>
      </w:r>
      <w:r>
        <w:rPr>
          <w:rFonts w:hAnsi="宋体"/>
          <w:spacing w:val="-4"/>
          <w:sz w:val="32"/>
          <w:szCs w:val="32"/>
        </w:rPr>
        <w:t>台（套）。</w:t>
      </w:r>
    </w:p>
    <w:p>
      <w:pPr>
        <w:autoSpaceDE w:val="0"/>
        <w:autoSpaceDN w:val="0"/>
        <w:adjustRightInd w:val="0"/>
        <w:spacing w:line="560" w:lineRule="exact"/>
        <w:ind w:firstLine="626" w:firstLineChars="200"/>
        <w:jc w:val="left"/>
        <w:rPr>
          <w:b/>
          <w:spacing w:val="-4"/>
          <w:sz w:val="32"/>
          <w:szCs w:val="32"/>
        </w:rPr>
      </w:pPr>
      <w:r>
        <w:rPr>
          <w:rFonts w:hAnsi="宋体"/>
          <w:b/>
          <w:spacing w:val="-4"/>
          <w:sz w:val="32"/>
          <w:szCs w:val="32"/>
        </w:rPr>
        <w:t>（四）预算绩效管理情况</w:t>
      </w:r>
    </w:p>
    <w:p>
      <w:pPr>
        <w:widowControl/>
        <w:spacing w:line="560" w:lineRule="exact"/>
        <w:ind w:firstLine="624" w:firstLineChars="200"/>
        <w:jc w:val="left"/>
        <w:rPr>
          <w:spacing w:val="-4"/>
          <w:sz w:val="32"/>
          <w:szCs w:val="32"/>
        </w:rPr>
      </w:pPr>
      <w:r>
        <w:rPr>
          <w:rFonts w:hAnsi="宋体"/>
          <w:spacing w:val="-4"/>
          <w:sz w:val="32"/>
          <w:szCs w:val="32"/>
        </w:rPr>
        <w:t>根据预算绩效管理要求，本单位在</w:t>
      </w:r>
      <w:r>
        <w:rPr>
          <w:spacing w:val="-4"/>
          <w:sz w:val="32"/>
          <w:szCs w:val="32"/>
        </w:rPr>
        <w:t>2025</w:t>
      </w:r>
      <w:r>
        <w:rPr>
          <w:rFonts w:hAnsi="宋体"/>
          <w:spacing w:val="-4"/>
          <w:sz w:val="32"/>
          <w:szCs w:val="32"/>
        </w:rPr>
        <w:t>年度预算编制阶段，组织对干沟试验场基地和红格水土保持监测站运行经费、水土保持监测费用等</w:t>
      </w:r>
      <w:r>
        <w:rPr>
          <w:spacing w:val="-4"/>
          <w:sz w:val="32"/>
          <w:szCs w:val="32"/>
        </w:rPr>
        <w:t>2</w:t>
      </w:r>
      <w:r>
        <w:rPr>
          <w:rFonts w:hAnsi="宋体"/>
          <w:spacing w:val="-4"/>
          <w:sz w:val="32"/>
          <w:szCs w:val="32"/>
        </w:rPr>
        <w:t>个项目开展了预算事前绩效评估，对</w:t>
      </w:r>
      <w:r>
        <w:rPr>
          <w:spacing w:val="-4"/>
          <w:sz w:val="32"/>
          <w:szCs w:val="32"/>
        </w:rPr>
        <w:t>2</w:t>
      </w:r>
      <w:r>
        <w:rPr>
          <w:rFonts w:hAnsi="宋体"/>
          <w:spacing w:val="-4"/>
          <w:sz w:val="32"/>
          <w:szCs w:val="32"/>
        </w:rPr>
        <w:t>个项目编制了绩效目标，预算执行过程中，选取</w:t>
      </w:r>
      <w:r>
        <w:rPr>
          <w:spacing w:val="-4"/>
          <w:sz w:val="32"/>
          <w:szCs w:val="32"/>
        </w:rPr>
        <w:t>2</w:t>
      </w:r>
      <w:r>
        <w:rPr>
          <w:rFonts w:hAnsi="宋体"/>
          <w:spacing w:val="-4"/>
          <w:sz w:val="32"/>
          <w:szCs w:val="32"/>
        </w:rPr>
        <w:t>个项目开展绩效监控。</w:t>
      </w:r>
    </w:p>
    <w:p>
      <w:pPr>
        <w:widowControl/>
        <w:spacing w:line="560" w:lineRule="exact"/>
        <w:ind w:firstLine="626" w:firstLineChars="200"/>
        <w:jc w:val="left"/>
        <w:rPr>
          <w:b/>
          <w:spacing w:val="-4"/>
          <w:sz w:val="32"/>
          <w:szCs w:val="32"/>
        </w:rPr>
      </w:pPr>
      <w:r>
        <w:rPr>
          <w:b/>
          <w:spacing w:val="-4"/>
          <w:sz w:val="32"/>
          <w:szCs w:val="32"/>
        </w:rPr>
        <w:br w:type="page"/>
      </w:r>
    </w:p>
    <w:p>
      <w:pPr>
        <w:numPr>
          <w:ilvl w:val="0"/>
          <w:numId w:val="1"/>
        </w:numPr>
        <w:spacing w:line="560" w:lineRule="exact"/>
        <w:ind w:firstLine="648" w:firstLineChars="150"/>
        <w:jc w:val="center"/>
        <w:outlineLvl w:val="0"/>
        <w:rPr>
          <w:rStyle w:val="29"/>
          <w:b w:val="0"/>
          <w:spacing w:val="-4"/>
        </w:rPr>
      </w:pPr>
      <w:bookmarkStart w:id="80" w:name="_Toc23657"/>
      <w:bookmarkStart w:id="81" w:name="_Toc15377225"/>
      <w:bookmarkStart w:id="82" w:name="_Toc15396613"/>
      <w:r>
        <w:rPr>
          <w:rFonts w:hAnsi="宋体"/>
          <w:spacing w:val="-4"/>
          <w:sz w:val="44"/>
          <w:szCs w:val="44"/>
        </w:rPr>
        <w:t>名</w:t>
      </w:r>
      <w:r>
        <w:rPr>
          <w:rStyle w:val="29"/>
          <w:rFonts w:hAnsi="宋体"/>
          <w:b w:val="0"/>
          <w:spacing w:val="-4"/>
        </w:rPr>
        <w:t>词解释</w:t>
      </w:r>
      <w:bookmarkEnd w:id="80"/>
      <w:bookmarkEnd w:id="81"/>
      <w:bookmarkEnd w:id="82"/>
    </w:p>
    <w:p>
      <w:pPr>
        <w:spacing w:line="560" w:lineRule="exact"/>
        <w:jc w:val="left"/>
        <w:rPr>
          <w:b/>
          <w:spacing w:val="-4"/>
          <w:sz w:val="32"/>
          <w:szCs w:val="32"/>
        </w:rPr>
      </w:pPr>
    </w:p>
    <w:p>
      <w:pPr>
        <w:spacing w:line="600" w:lineRule="exact"/>
        <w:ind w:firstLine="640"/>
        <w:rPr>
          <w:sz w:val="32"/>
          <w:szCs w:val="32"/>
        </w:rPr>
      </w:pPr>
      <w:r>
        <w:rPr>
          <w:sz w:val="32"/>
          <w:szCs w:val="32"/>
        </w:rPr>
        <w:t>1.</w:t>
      </w:r>
      <w:r>
        <w:rPr>
          <w:rFonts w:hAnsi="宋体"/>
          <w:sz w:val="32"/>
          <w:szCs w:val="32"/>
        </w:rPr>
        <w:t>财政拨款收入：指单位从同级财政部门取得的财政预算资金。</w:t>
      </w:r>
    </w:p>
    <w:p>
      <w:pPr>
        <w:spacing w:line="600" w:lineRule="exact"/>
        <w:ind w:firstLine="640"/>
        <w:rPr>
          <w:sz w:val="32"/>
          <w:szCs w:val="32"/>
        </w:rPr>
      </w:pPr>
      <w:r>
        <w:rPr>
          <w:sz w:val="32"/>
          <w:szCs w:val="32"/>
        </w:rPr>
        <w:t>2.</w:t>
      </w:r>
      <w:r>
        <w:rPr>
          <w:rFonts w:hAnsi="宋体"/>
          <w:sz w:val="32"/>
          <w:szCs w:val="32"/>
        </w:rPr>
        <w:t>事业收入：指事业单位开展专业业务活动及辅助活动取得的收入。</w:t>
      </w:r>
    </w:p>
    <w:p>
      <w:pPr>
        <w:spacing w:line="600" w:lineRule="exact"/>
        <w:ind w:firstLine="640"/>
        <w:rPr>
          <w:sz w:val="32"/>
          <w:szCs w:val="32"/>
        </w:rPr>
      </w:pPr>
      <w:r>
        <w:rPr>
          <w:sz w:val="32"/>
          <w:szCs w:val="32"/>
        </w:rPr>
        <w:t>3.</w:t>
      </w:r>
      <w:r>
        <w:rPr>
          <w:rFonts w:hAnsi="宋体"/>
          <w:sz w:val="32"/>
          <w:szCs w:val="32"/>
        </w:rPr>
        <w:t>经营收入：指事业单位在专业业务活动及其辅助活动之外开展非独立核算经营活动取得的收入。</w:t>
      </w:r>
    </w:p>
    <w:p>
      <w:pPr>
        <w:spacing w:line="600" w:lineRule="exact"/>
        <w:ind w:firstLine="640"/>
        <w:rPr>
          <w:sz w:val="32"/>
          <w:szCs w:val="32"/>
        </w:rPr>
      </w:pPr>
      <w:r>
        <w:rPr>
          <w:sz w:val="32"/>
          <w:szCs w:val="32"/>
        </w:rPr>
        <w:t>4.</w:t>
      </w:r>
      <w:r>
        <w:rPr>
          <w:rFonts w:hAnsi="宋体"/>
          <w:sz w:val="32"/>
          <w:szCs w:val="32"/>
        </w:rPr>
        <w:t>其他收入：指单位取得的除上述收入以外的各项收入。</w:t>
      </w:r>
      <w:r>
        <w:rPr>
          <w:sz w:val="32"/>
          <w:szCs w:val="32"/>
        </w:rPr>
        <w:t xml:space="preserve"> </w:t>
      </w:r>
    </w:p>
    <w:p>
      <w:pPr>
        <w:spacing w:line="600" w:lineRule="exact"/>
        <w:ind w:firstLine="640"/>
        <w:rPr>
          <w:sz w:val="32"/>
          <w:szCs w:val="32"/>
        </w:rPr>
      </w:pPr>
      <w:r>
        <w:rPr>
          <w:sz w:val="32"/>
          <w:szCs w:val="32"/>
        </w:rPr>
        <w:t>5.</w:t>
      </w:r>
      <w:r>
        <w:rPr>
          <w:rFonts w:hAnsi="宋体"/>
          <w:sz w:val="32"/>
          <w:szCs w:val="32"/>
        </w:rPr>
        <w:t>使用非财政拨款结余（含专用结余）：指事业单位使用以前年度积累的非财政拨款结余弥补当年收支差额的金额。</w:t>
      </w:r>
      <w:r>
        <w:rPr>
          <w:sz w:val="32"/>
          <w:szCs w:val="32"/>
        </w:rPr>
        <w:t xml:space="preserve"> </w:t>
      </w:r>
    </w:p>
    <w:p>
      <w:pPr>
        <w:spacing w:line="600" w:lineRule="exact"/>
        <w:ind w:firstLine="640"/>
        <w:rPr>
          <w:sz w:val="32"/>
          <w:szCs w:val="32"/>
        </w:rPr>
      </w:pPr>
      <w:r>
        <w:rPr>
          <w:sz w:val="32"/>
          <w:szCs w:val="32"/>
        </w:rPr>
        <w:t>6.</w:t>
      </w:r>
      <w:r>
        <w:rPr>
          <w:rFonts w:hAnsi="宋体"/>
          <w:sz w:val="32"/>
          <w:szCs w:val="32"/>
        </w:rPr>
        <w:t>年初结转和结余：指以前年度尚未完成、结转到本年按有关规定继续使用的资金。</w:t>
      </w:r>
      <w:r>
        <w:rPr>
          <w:sz w:val="32"/>
          <w:szCs w:val="32"/>
        </w:rPr>
        <w:t xml:space="preserve"> </w:t>
      </w:r>
    </w:p>
    <w:p>
      <w:pPr>
        <w:spacing w:line="600" w:lineRule="exact"/>
        <w:ind w:firstLine="640"/>
        <w:rPr>
          <w:sz w:val="32"/>
          <w:szCs w:val="32"/>
        </w:rPr>
      </w:pPr>
      <w:r>
        <w:rPr>
          <w:sz w:val="32"/>
          <w:szCs w:val="32"/>
        </w:rPr>
        <w:t>7.</w:t>
      </w:r>
      <w:r>
        <w:rPr>
          <w:rFonts w:hAnsi="宋体"/>
          <w:sz w:val="32"/>
          <w:szCs w:val="32"/>
        </w:rPr>
        <w:t>结余分配：指事业单位按照会计制度规定缴纳的所得税、提取的专用结余以及转入非财政拨款结余的金额等。</w:t>
      </w:r>
    </w:p>
    <w:p>
      <w:pPr>
        <w:spacing w:line="600" w:lineRule="exact"/>
        <w:ind w:firstLine="640"/>
        <w:rPr>
          <w:sz w:val="32"/>
          <w:szCs w:val="32"/>
        </w:rPr>
      </w:pPr>
      <w:r>
        <w:rPr>
          <w:sz w:val="32"/>
          <w:szCs w:val="32"/>
        </w:rPr>
        <w:t>8.</w:t>
      </w:r>
      <w:r>
        <w:rPr>
          <w:rFonts w:hAnsi="宋体"/>
          <w:sz w:val="32"/>
          <w:szCs w:val="32"/>
        </w:rPr>
        <w:t>年末结转和结余：指单位按有关规定结转到下年或以后年度继续使用的资金。</w:t>
      </w:r>
    </w:p>
    <w:p>
      <w:pPr>
        <w:spacing w:line="600" w:lineRule="exact"/>
        <w:ind w:firstLine="640"/>
        <w:rPr>
          <w:sz w:val="32"/>
          <w:szCs w:val="32"/>
        </w:rPr>
      </w:pPr>
      <w:r>
        <w:rPr>
          <w:sz w:val="32"/>
          <w:szCs w:val="32"/>
        </w:rPr>
        <w:t xml:space="preserve">9. </w:t>
      </w:r>
      <w:r>
        <w:rPr>
          <w:rFonts w:hAnsi="宋体"/>
          <w:sz w:val="32"/>
          <w:szCs w:val="32"/>
        </w:rPr>
        <w:t>社会保障和就业支出（类）人力资源和社会保障管理事务（款）其他人力资源和社会保障管理事务支出（项）：指除上述项目以外其他用于人力资源和社会保障管理事务方面的支出。</w:t>
      </w:r>
    </w:p>
    <w:p>
      <w:pPr>
        <w:spacing w:line="600" w:lineRule="exact"/>
        <w:ind w:firstLine="640"/>
        <w:rPr>
          <w:sz w:val="32"/>
          <w:szCs w:val="32"/>
        </w:rPr>
      </w:pPr>
      <w:r>
        <w:rPr>
          <w:sz w:val="32"/>
          <w:szCs w:val="32"/>
        </w:rPr>
        <w:t>10.</w:t>
      </w:r>
      <w:r>
        <w:rPr>
          <w:rFonts w:hAnsi="宋体"/>
          <w:sz w:val="32"/>
          <w:szCs w:val="32"/>
        </w:rPr>
        <w:t>社会保障和就业支出（类）行政事业单位养老（款）机关事业单位基本养老保险缴费支出（项）：指机关事业单位实施养老保险制度由单位缴纳的基本养老保险费支出。</w:t>
      </w:r>
    </w:p>
    <w:p>
      <w:pPr>
        <w:spacing w:line="600" w:lineRule="exact"/>
        <w:ind w:firstLine="640"/>
        <w:rPr>
          <w:sz w:val="32"/>
          <w:szCs w:val="32"/>
        </w:rPr>
      </w:pPr>
      <w:r>
        <w:rPr>
          <w:sz w:val="32"/>
          <w:szCs w:val="32"/>
        </w:rPr>
        <w:t>11.</w:t>
      </w:r>
      <w:r>
        <w:rPr>
          <w:rFonts w:hAnsi="宋体"/>
          <w:sz w:val="32"/>
          <w:szCs w:val="32"/>
        </w:rPr>
        <w:t>卫生健康支出（类）行政事业单位医疗（款）事业单位医疗（项）：指财政部门安排的事业单位基本医疗保险缴费经费。</w:t>
      </w:r>
    </w:p>
    <w:p>
      <w:pPr>
        <w:spacing w:line="600" w:lineRule="exact"/>
        <w:ind w:firstLine="640"/>
        <w:rPr>
          <w:sz w:val="32"/>
          <w:szCs w:val="32"/>
        </w:rPr>
      </w:pPr>
      <w:r>
        <w:rPr>
          <w:sz w:val="32"/>
          <w:szCs w:val="32"/>
        </w:rPr>
        <w:t>12.</w:t>
      </w:r>
      <w:r>
        <w:rPr>
          <w:rFonts w:hAnsi="宋体"/>
          <w:sz w:val="32"/>
          <w:szCs w:val="32"/>
        </w:rPr>
        <w:t>卫生健康支出（类）行政事业单位医疗（款）公务员医疗补助（项）</w:t>
      </w:r>
      <w:r>
        <w:rPr>
          <w:sz w:val="32"/>
          <w:szCs w:val="32"/>
        </w:rPr>
        <w:t>:</w:t>
      </w:r>
      <w:r>
        <w:rPr>
          <w:rFonts w:hAnsi="宋体"/>
          <w:sz w:val="32"/>
          <w:szCs w:val="32"/>
        </w:rPr>
        <w:t>是指财政部门安排的公务员医疗补助经费。</w:t>
      </w:r>
    </w:p>
    <w:p>
      <w:pPr>
        <w:spacing w:line="600" w:lineRule="exact"/>
        <w:ind w:firstLine="640"/>
        <w:rPr>
          <w:sz w:val="32"/>
          <w:szCs w:val="32"/>
        </w:rPr>
      </w:pPr>
      <w:r>
        <w:rPr>
          <w:sz w:val="32"/>
          <w:szCs w:val="32"/>
        </w:rPr>
        <w:t>13.</w:t>
      </w:r>
      <w:r>
        <w:rPr>
          <w:rFonts w:hAnsi="宋体"/>
          <w:sz w:val="32"/>
          <w:szCs w:val="32"/>
        </w:rPr>
        <w:t>农林水支出（类）水利（款）水土保持（项）</w:t>
      </w:r>
      <w:r>
        <w:rPr>
          <w:sz w:val="32"/>
          <w:szCs w:val="32"/>
        </w:rPr>
        <w:t xml:space="preserve">: </w:t>
      </w:r>
      <w:r>
        <w:rPr>
          <w:rFonts w:hAnsi="宋体"/>
          <w:sz w:val="32"/>
          <w:szCs w:val="32"/>
        </w:rPr>
        <w:t>指反映水利系统纳入预算管理的水土保持事业单位的支出，包括规划制定和实施，治理、生态修复、预防监测、调查协调、综合治理、开发技术的示范、监督执法等支出以及水土保持生态工程措施和各项管理保护活动的支出。</w:t>
      </w:r>
    </w:p>
    <w:p>
      <w:pPr>
        <w:spacing w:line="600" w:lineRule="exact"/>
        <w:ind w:firstLine="640"/>
        <w:rPr>
          <w:sz w:val="32"/>
          <w:szCs w:val="32"/>
        </w:rPr>
      </w:pPr>
      <w:r>
        <w:rPr>
          <w:sz w:val="32"/>
          <w:szCs w:val="32"/>
        </w:rPr>
        <w:t>14.</w:t>
      </w:r>
      <w:r>
        <w:rPr>
          <w:rFonts w:hAnsi="宋体"/>
          <w:sz w:val="32"/>
          <w:szCs w:val="32"/>
        </w:rPr>
        <w:t>住房保障支出（类）住房改革支出（款）住房公积金（项）</w:t>
      </w:r>
      <w:r>
        <w:rPr>
          <w:sz w:val="32"/>
          <w:szCs w:val="32"/>
        </w:rPr>
        <w:t xml:space="preserve">: </w:t>
      </w:r>
      <w:r>
        <w:rPr>
          <w:rFonts w:hAnsi="宋体"/>
          <w:sz w:val="32"/>
          <w:szCs w:val="32"/>
        </w:rPr>
        <w:t>指反映行政事业单位按人事、财政部门规定的基本工资和津贴补贴以及规定比例为职工缴纳的住房公积金。</w:t>
      </w:r>
    </w:p>
    <w:p>
      <w:pPr>
        <w:spacing w:line="600" w:lineRule="exact"/>
        <w:ind w:firstLine="640"/>
        <w:rPr>
          <w:sz w:val="32"/>
          <w:szCs w:val="32"/>
        </w:rPr>
      </w:pPr>
      <w:r>
        <w:rPr>
          <w:sz w:val="32"/>
          <w:szCs w:val="32"/>
        </w:rPr>
        <w:t>15.</w:t>
      </w:r>
      <w:r>
        <w:rPr>
          <w:rFonts w:hAnsi="宋体"/>
          <w:sz w:val="32"/>
          <w:szCs w:val="32"/>
        </w:rPr>
        <w:t>基本支出：指为保障机构正常运转、完成日常工作任务而发生的人员支出和公用支出。</w:t>
      </w:r>
    </w:p>
    <w:p>
      <w:pPr>
        <w:spacing w:line="600" w:lineRule="exact"/>
        <w:ind w:firstLine="640"/>
        <w:rPr>
          <w:sz w:val="32"/>
          <w:szCs w:val="32"/>
        </w:rPr>
      </w:pPr>
      <w:r>
        <w:rPr>
          <w:sz w:val="32"/>
          <w:szCs w:val="32"/>
        </w:rPr>
        <w:t>16.</w:t>
      </w:r>
      <w:r>
        <w:rPr>
          <w:rFonts w:hAnsi="宋体"/>
          <w:sz w:val="32"/>
          <w:szCs w:val="32"/>
        </w:rPr>
        <w:t>项目支出：指在基本支出之外为完成特定行政任务和事业发展目标所发生的支出。</w:t>
      </w:r>
      <w:r>
        <w:rPr>
          <w:sz w:val="32"/>
          <w:szCs w:val="32"/>
        </w:rPr>
        <w:t xml:space="preserve"> </w:t>
      </w:r>
    </w:p>
    <w:p>
      <w:pPr>
        <w:pStyle w:val="27"/>
        <w:spacing w:line="560" w:lineRule="exact"/>
        <w:ind w:firstLine="480" w:firstLineChars="150"/>
        <w:rPr>
          <w:rFonts w:ascii="Times New Roman" w:hAnsi="Times New Roman" w:eastAsia="宋体" w:cs="Times New Roman"/>
          <w:color w:val="auto"/>
          <w:spacing w:val="-4"/>
          <w:sz w:val="32"/>
          <w:szCs w:val="32"/>
        </w:rPr>
      </w:pPr>
      <w:r>
        <w:rPr>
          <w:rFonts w:ascii="Times New Roman" w:hAnsi="Times New Roman" w:eastAsia="宋体" w:cs="Times New Roman"/>
          <w:sz w:val="32"/>
          <w:szCs w:val="32"/>
        </w:rPr>
        <w:t>17.“</w:t>
      </w:r>
      <w:r>
        <w:rPr>
          <w:rFonts w:ascii="Times New Roman" w:hAnsi="宋体" w:eastAsia="宋体" w:cs="Times New Roman"/>
          <w:sz w:val="32"/>
          <w:szCs w:val="32"/>
        </w:rPr>
        <w:t>三公</w:t>
      </w:r>
      <w:r>
        <w:rPr>
          <w:rFonts w:ascii="Times New Roman" w:hAnsi="Times New Roman" w:eastAsia="宋体" w:cs="Times New Roman"/>
          <w:sz w:val="32"/>
          <w:szCs w:val="32"/>
        </w:rPr>
        <w:t>”</w:t>
      </w:r>
      <w:r>
        <w:rPr>
          <w:rFonts w:ascii="Times New Roman" w:hAnsi="宋体" w:eastAsia="宋体" w:cs="Times New Roman"/>
          <w:sz w:val="32"/>
          <w:szCs w:val="32"/>
        </w:rPr>
        <w:t>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560" w:lineRule="exact"/>
        <w:jc w:val="center"/>
        <w:outlineLvl w:val="0"/>
        <w:rPr>
          <w:rStyle w:val="29"/>
          <w:b w:val="0"/>
          <w:spacing w:val="-4"/>
        </w:rPr>
      </w:pPr>
      <w:bookmarkStart w:id="83" w:name="_Toc15377226"/>
      <w:r>
        <w:rPr>
          <w:b/>
          <w:spacing w:val="-4"/>
          <w:sz w:val="32"/>
          <w:szCs w:val="32"/>
        </w:rPr>
        <w:br w:type="page"/>
      </w:r>
      <w:bookmarkStart w:id="84" w:name="_Toc15396614"/>
      <w:bookmarkStart w:id="85" w:name="_Toc23100"/>
      <w:r>
        <w:rPr>
          <w:rFonts w:hAnsi="宋体"/>
          <w:spacing w:val="-4"/>
          <w:sz w:val="44"/>
          <w:szCs w:val="44"/>
        </w:rPr>
        <w:t>第</w:t>
      </w:r>
      <w:r>
        <w:rPr>
          <w:rStyle w:val="29"/>
          <w:rFonts w:hAnsi="宋体"/>
          <w:b w:val="0"/>
          <w:spacing w:val="-4"/>
        </w:rPr>
        <w:t>四部分附件</w:t>
      </w:r>
      <w:bookmarkEnd w:id="84"/>
      <w:bookmarkEnd w:id="85"/>
    </w:p>
    <w:p>
      <w:pPr>
        <w:widowControl/>
        <w:spacing w:line="560" w:lineRule="exact"/>
        <w:contextualSpacing/>
        <w:jc w:val="center"/>
        <w:rPr>
          <w:spacing w:val="-4"/>
          <w:sz w:val="33"/>
          <w:szCs w:val="33"/>
          <w:shd w:val="clear" w:color="auto" w:fill="FFFFFF"/>
        </w:rPr>
      </w:pPr>
    </w:p>
    <w:p>
      <w:pPr>
        <w:widowControl/>
        <w:spacing w:line="560" w:lineRule="exact"/>
        <w:ind w:firstLine="624" w:firstLineChars="200"/>
        <w:contextualSpacing/>
        <w:rPr>
          <w:color w:val="000000"/>
          <w:spacing w:val="-4"/>
          <w:sz w:val="32"/>
          <w:szCs w:val="32"/>
        </w:rPr>
      </w:pPr>
      <w:r>
        <w:rPr>
          <w:rFonts w:hAnsi="宋体"/>
          <w:color w:val="000000"/>
          <w:spacing w:val="-4"/>
          <w:sz w:val="32"/>
          <w:szCs w:val="32"/>
        </w:rPr>
        <w:t>单位预算项目支出绩效自评表（</w:t>
      </w:r>
      <w:r>
        <w:rPr>
          <w:color w:val="000000"/>
          <w:spacing w:val="-4"/>
          <w:sz w:val="32"/>
          <w:szCs w:val="32"/>
        </w:rPr>
        <w:t>2025</w:t>
      </w:r>
      <w:r>
        <w:rPr>
          <w:rFonts w:hAnsi="宋体"/>
          <w:color w:val="000000"/>
          <w:spacing w:val="-4"/>
          <w:sz w:val="32"/>
          <w:szCs w:val="32"/>
        </w:rPr>
        <w:t>年度）见附件</w:t>
      </w:r>
      <w:r>
        <w:rPr>
          <w:color w:val="000000"/>
          <w:spacing w:val="-4"/>
          <w:sz w:val="32"/>
          <w:szCs w:val="32"/>
        </w:rPr>
        <w:t>3</w:t>
      </w:r>
    </w:p>
    <w:p>
      <w:pPr>
        <w:widowControl/>
        <w:spacing w:line="560" w:lineRule="exact"/>
        <w:jc w:val="left"/>
        <w:rPr>
          <w:rStyle w:val="29"/>
          <w:b w:val="0"/>
          <w:spacing w:val="-4"/>
          <w:sz w:val="32"/>
          <w:szCs w:val="32"/>
        </w:rPr>
      </w:pPr>
      <w:r>
        <w:rPr>
          <w:rStyle w:val="29"/>
          <w:b w:val="0"/>
          <w:spacing w:val="-4"/>
          <w:sz w:val="32"/>
          <w:szCs w:val="32"/>
        </w:rPr>
        <w:br w:type="page"/>
      </w:r>
    </w:p>
    <w:p>
      <w:pPr>
        <w:spacing w:line="560" w:lineRule="exact"/>
        <w:jc w:val="center"/>
        <w:outlineLvl w:val="0"/>
        <w:rPr>
          <w:spacing w:val="-4"/>
          <w:sz w:val="44"/>
          <w:szCs w:val="44"/>
        </w:rPr>
      </w:pPr>
      <w:bookmarkStart w:id="86" w:name="_Toc15396618"/>
      <w:bookmarkStart w:id="87" w:name="_Toc5914"/>
      <w:r>
        <w:rPr>
          <w:rFonts w:hAnsi="宋体"/>
          <w:spacing w:val="-4"/>
          <w:sz w:val="44"/>
          <w:szCs w:val="44"/>
        </w:rPr>
        <w:t>第</w:t>
      </w:r>
      <w:r>
        <w:rPr>
          <w:rStyle w:val="29"/>
          <w:rFonts w:hAnsi="宋体"/>
          <w:b w:val="0"/>
          <w:spacing w:val="-4"/>
        </w:rPr>
        <w:t>五部分附表</w:t>
      </w:r>
      <w:bookmarkEnd w:id="83"/>
      <w:bookmarkEnd w:id="86"/>
      <w:bookmarkEnd w:id="87"/>
      <w:bookmarkStart w:id="88" w:name="_Toc15396619"/>
    </w:p>
    <w:p>
      <w:pPr>
        <w:pStyle w:val="4"/>
        <w:spacing w:line="560" w:lineRule="exact"/>
        <w:rPr>
          <w:rFonts w:ascii="Times New Roman" w:hAnsi="Times New Roman" w:eastAsia="宋体" w:cs="Times New Roman"/>
          <w:spacing w:val="-4"/>
        </w:rPr>
      </w:pPr>
      <w:bookmarkStart w:id="89" w:name="_Toc4846"/>
      <w:r>
        <w:rPr>
          <w:rFonts w:ascii="Times New Roman" w:hAnsi="宋体" w:eastAsia="宋体" w:cs="Times New Roman"/>
          <w:b w:val="0"/>
          <w:spacing w:val="-4"/>
        </w:rPr>
        <w:t>一、收</w:t>
      </w:r>
      <w:r>
        <w:rPr>
          <w:rStyle w:val="30"/>
          <w:rFonts w:ascii="Times New Roman" w:hAnsi="宋体" w:eastAsia="宋体" w:cs="Times New Roman"/>
          <w:b w:val="0"/>
          <w:bCs w:val="0"/>
          <w:spacing w:val="-4"/>
        </w:rPr>
        <w:t>入支出决算总表</w:t>
      </w:r>
      <w:bookmarkEnd w:id="88"/>
      <w:bookmarkEnd w:id="89"/>
    </w:p>
    <w:p>
      <w:pPr>
        <w:pStyle w:val="4"/>
        <w:spacing w:line="560" w:lineRule="exact"/>
        <w:rPr>
          <w:rFonts w:ascii="Times New Roman" w:hAnsi="Times New Roman" w:eastAsia="宋体" w:cs="Times New Roman"/>
          <w:spacing w:val="-4"/>
        </w:rPr>
      </w:pPr>
      <w:bookmarkStart w:id="90" w:name="_Toc18398"/>
      <w:bookmarkStart w:id="91" w:name="_Toc15396620"/>
      <w:r>
        <w:rPr>
          <w:rFonts w:ascii="Times New Roman" w:hAnsi="宋体" w:eastAsia="宋体" w:cs="Times New Roman"/>
          <w:b w:val="0"/>
          <w:spacing w:val="-4"/>
        </w:rPr>
        <w:t>二、收</w:t>
      </w:r>
      <w:r>
        <w:rPr>
          <w:rStyle w:val="30"/>
          <w:rFonts w:ascii="Times New Roman" w:hAnsi="宋体" w:eastAsia="宋体" w:cs="Times New Roman"/>
          <w:b w:val="0"/>
          <w:bCs w:val="0"/>
          <w:spacing w:val="-4"/>
        </w:rPr>
        <w:t>入决算表</w:t>
      </w:r>
      <w:bookmarkEnd w:id="90"/>
      <w:bookmarkEnd w:id="91"/>
    </w:p>
    <w:p>
      <w:pPr>
        <w:pStyle w:val="4"/>
        <w:spacing w:line="560" w:lineRule="exact"/>
        <w:rPr>
          <w:rFonts w:ascii="Times New Roman" w:hAnsi="Times New Roman" w:eastAsia="宋体" w:cs="Times New Roman"/>
          <w:spacing w:val="-4"/>
        </w:rPr>
      </w:pPr>
      <w:bookmarkStart w:id="92" w:name="_Toc15396621"/>
      <w:bookmarkStart w:id="93" w:name="_Toc12475"/>
      <w:r>
        <w:rPr>
          <w:rStyle w:val="30"/>
          <w:rFonts w:ascii="Times New Roman" w:hAnsi="宋体" w:eastAsia="宋体" w:cs="Times New Roman"/>
          <w:b w:val="0"/>
          <w:bCs w:val="0"/>
          <w:spacing w:val="-4"/>
        </w:rPr>
        <w:t>三、</w:t>
      </w:r>
      <w:r>
        <w:rPr>
          <w:rFonts w:ascii="Times New Roman" w:hAnsi="宋体" w:eastAsia="宋体" w:cs="Times New Roman"/>
          <w:b w:val="0"/>
          <w:spacing w:val="-4"/>
        </w:rPr>
        <w:t>支</w:t>
      </w:r>
      <w:r>
        <w:rPr>
          <w:rStyle w:val="30"/>
          <w:rFonts w:ascii="Times New Roman" w:hAnsi="宋体" w:eastAsia="宋体" w:cs="Times New Roman"/>
          <w:b w:val="0"/>
          <w:bCs w:val="0"/>
          <w:spacing w:val="-4"/>
        </w:rPr>
        <w:t>出决算表</w:t>
      </w:r>
      <w:bookmarkEnd w:id="92"/>
      <w:bookmarkEnd w:id="93"/>
    </w:p>
    <w:p>
      <w:pPr>
        <w:pStyle w:val="4"/>
        <w:spacing w:line="560" w:lineRule="exact"/>
        <w:rPr>
          <w:rFonts w:ascii="Times New Roman" w:hAnsi="Times New Roman" w:eastAsia="宋体" w:cs="Times New Roman"/>
          <w:b w:val="0"/>
          <w:spacing w:val="-4"/>
        </w:rPr>
      </w:pPr>
      <w:bookmarkStart w:id="94" w:name="_Toc7242"/>
      <w:bookmarkStart w:id="95" w:name="_Toc15396622"/>
      <w:r>
        <w:rPr>
          <w:rStyle w:val="30"/>
          <w:rFonts w:ascii="Times New Roman" w:hAnsi="宋体" w:eastAsia="宋体" w:cs="Times New Roman"/>
          <w:b w:val="0"/>
          <w:bCs w:val="0"/>
          <w:spacing w:val="-4"/>
        </w:rPr>
        <w:t>四、</w:t>
      </w:r>
      <w:r>
        <w:rPr>
          <w:rFonts w:ascii="Times New Roman" w:hAnsi="宋体" w:eastAsia="宋体" w:cs="Times New Roman"/>
          <w:b w:val="0"/>
          <w:spacing w:val="-4"/>
        </w:rPr>
        <w:t>财</w:t>
      </w:r>
      <w:r>
        <w:rPr>
          <w:rStyle w:val="30"/>
          <w:rFonts w:ascii="Times New Roman" w:hAnsi="宋体" w:eastAsia="宋体" w:cs="Times New Roman"/>
          <w:b w:val="0"/>
          <w:bCs w:val="0"/>
          <w:spacing w:val="-4"/>
        </w:rPr>
        <w:t>政拨款收入支出决算总表</w:t>
      </w:r>
      <w:bookmarkEnd w:id="94"/>
      <w:bookmarkEnd w:id="95"/>
    </w:p>
    <w:p>
      <w:pPr>
        <w:pStyle w:val="4"/>
        <w:spacing w:line="560" w:lineRule="exact"/>
        <w:rPr>
          <w:rStyle w:val="30"/>
          <w:rFonts w:ascii="Times New Roman" w:hAnsi="Times New Roman" w:eastAsia="宋体" w:cs="Times New Roman"/>
          <w:b w:val="0"/>
          <w:bCs w:val="0"/>
          <w:spacing w:val="-4"/>
        </w:rPr>
      </w:pPr>
      <w:bookmarkStart w:id="96" w:name="_Toc15396623"/>
      <w:bookmarkStart w:id="97" w:name="_Toc28566"/>
      <w:r>
        <w:rPr>
          <w:rStyle w:val="30"/>
          <w:rFonts w:ascii="Times New Roman" w:hAnsi="宋体" w:eastAsia="宋体" w:cs="Times New Roman"/>
          <w:b w:val="0"/>
          <w:bCs w:val="0"/>
          <w:spacing w:val="-4"/>
        </w:rPr>
        <w:t>五、</w:t>
      </w:r>
      <w:r>
        <w:rPr>
          <w:rFonts w:ascii="Times New Roman" w:hAnsi="宋体" w:eastAsia="宋体" w:cs="Times New Roman"/>
          <w:b w:val="0"/>
          <w:spacing w:val="-4"/>
        </w:rPr>
        <w:t>财</w:t>
      </w:r>
      <w:r>
        <w:rPr>
          <w:rStyle w:val="30"/>
          <w:rFonts w:ascii="Times New Roman" w:hAnsi="宋体" w:eastAsia="宋体" w:cs="Times New Roman"/>
          <w:b w:val="0"/>
          <w:bCs w:val="0"/>
          <w:spacing w:val="-4"/>
        </w:rPr>
        <w:t>政拨款支出决算明细表</w:t>
      </w:r>
      <w:bookmarkEnd w:id="96"/>
      <w:bookmarkEnd w:id="97"/>
      <w:bookmarkStart w:id="98" w:name="_Toc15396624"/>
    </w:p>
    <w:p>
      <w:pPr>
        <w:pStyle w:val="4"/>
        <w:spacing w:line="560" w:lineRule="exact"/>
        <w:rPr>
          <w:rFonts w:ascii="Times New Roman" w:hAnsi="Times New Roman" w:eastAsia="宋体" w:cs="Times New Roman"/>
          <w:spacing w:val="-4"/>
        </w:rPr>
      </w:pPr>
      <w:bookmarkStart w:id="99" w:name="_Toc23158"/>
      <w:r>
        <w:rPr>
          <w:rStyle w:val="30"/>
          <w:rFonts w:ascii="Times New Roman" w:hAnsi="宋体" w:eastAsia="宋体" w:cs="Times New Roman"/>
          <w:b w:val="0"/>
          <w:bCs w:val="0"/>
          <w:spacing w:val="-4"/>
        </w:rPr>
        <w:t>六、</w:t>
      </w:r>
      <w:r>
        <w:rPr>
          <w:rFonts w:ascii="Times New Roman" w:hAnsi="宋体" w:eastAsia="宋体" w:cs="Times New Roman"/>
          <w:b w:val="0"/>
          <w:spacing w:val="-4"/>
        </w:rPr>
        <w:t>一</w:t>
      </w:r>
      <w:r>
        <w:rPr>
          <w:rStyle w:val="30"/>
          <w:rFonts w:ascii="Times New Roman" w:hAnsi="宋体" w:eastAsia="宋体" w:cs="Times New Roman"/>
          <w:b w:val="0"/>
          <w:bCs w:val="0"/>
          <w:spacing w:val="-4"/>
        </w:rPr>
        <w:t>般公共预算财政拨款支出决算表</w:t>
      </w:r>
      <w:bookmarkEnd w:id="98"/>
      <w:bookmarkEnd w:id="99"/>
    </w:p>
    <w:p>
      <w:pPr>
        <w:pStyle w:val="4"/>
        <w:spacing w:line="560" w:lineRule="exact"/>
        <w:rPr>
          <w:rFonts w:ascii="Times New Roman" w:hAnsi="Times New Roman" w:eastAsia="宋体" w:cs="Times New Roman"/>
          <w:spacing w:val="-4"/>
        </w:rPr>
      </w:pPr>
      <w:bookmarkStart w:id="100" w:name="_Toc14207"/>
      <w:bookmarkStart w:id="101" w:name="_Toc15396625"/>
      <w:r>
        <w:rPr>
          <w:rStyle w:val="30"/>
          <w:rFonts w:ascii="Times New Roman" w:hAnsi="宋体" w:eastAsia="宋体" w:cs="Times New Roman"/>
          <w:b w:val="0"/>
          <w:bCs w:val="0"/>
          <w:spacing w:val="-4"/>
        </w:rPr>
        <w:t>七、</w:t>
      </w:r>
      <w:r>
        <w:rPr>
          <w:rFonts w:ascii="Times New Roman" w:hAnsi="宋体" w:eastAsia="宋体" w:cs="Times New Roman"/>
          <w:b w:val="0"/>
          <w:spacing w:val="-4"/>
        </w:rPr>
        <w:t>一</w:t>
      </w:r>
      <w:r>
        <w:rPr>
          <w:rStyle w:val="30"/>
          <w:rFonts w:ascii="Times New Roman" w:hAnsi="宋体" w:eastAsia="宋体" w:cs="Times New Roman"/>
          <w:b w:val="0"/>
          <w:bCs w:val="0"/>
          <w:spacing w:val="-4"/>
        </w:rPr>
        <w:t>般公共预算财政拨款支出决算明细表</w:t>
      </w:r>
      <w:bookmarkEnd w:id="100"/>
      <w:bookmarkEnd w:id="101"/>
    </w:p>
    <w:p>
      <w:pPr>
        <w:pStyle w:val="4"/>
        <w:spacing w:line="560" w:lineRule="exact"/>
        <w:rPr>
          <w:rFonts w:ascii="Times New Roman" w:hAnsi="Times New Roman" w:eastAsia="宋体" w:cs="Times New Roman"/>
          <w:spacing w:val="-4"/>
        </w:rPr>
      </w:pPr>
      <w:bookmarkStart w:id="102" w:name="_Toc15396626"/>
      <w:bookmarkStart w:id="103" w:name="_Toc9111"/>
      <w:r>
        <w:rPr>
          <w:rStyle w:val="30"/>
          <w:rFonts w:ascii="Times New Roman" w:hAnsi="宋体" w:eastAsia="宋体" w:cs="Times New Roman"/>
          <w:b w:val="0"/>
          <w:bCs w:val="0"/>
          <w:spacing w:val="-4"/>
        </w:rPr>
        <w:t>八、</w:t>
      </w:r>
      <w:r>
        <w:rPr>
          <w:rFonts w:ascii="Times New Roman" w:hAnsi="宋体" w:eastAsia="宋体" w:cs="Times New Roman"/>
          <w:b w:val="0"/>
          <w:spacing w:val="-4"/>
        </w:rPr>
        <w:t>一</w:t>
      </w:r>
      <w:r>
        <w:rPr>
          <w:rStyle w:val="30"/>
          <w:rFonts w:ascii="Times New Roman" w:hAnsi="宋体" w:eastAsia="宋体" w:cs="Times New Roman"/>
          <w:b w:val="0"/>
          <w:bCs w:val="0"/>
          <w:spacing w:val="-4"/>
        </w:rPr>
        <w:t>般公共预算财政拨款基本支出决算表</w:t>
      </w:r>
      <w:bookmarkEnd w:id="102"/>
      <w:bookmarkEnd w:id="103"/>
    </w:p>
    <w:p>
      <w:pPr>
        <w:pStyle w:val="4"/>
        <w:spacing w:line="560" w:lineRule="exact"/>
        <w:rPr>
          <w:rFonts w:ascii="Times New Roman" w:hAnsi="Times New Roman" w:eastAsia="宋体" w:cs="Times New Roman"/>
          <w:spacing w:val="-4"/>
        </w:rPr>
      </w:pPr>
      <w:bookmarkStart w:id="104" w:name="_Toc15396627"/>
      <w:bookmarkStart w:id="105" w:name="_Toc293"/>
      <w:r>
        <w:rPr>
          <w:rStyle w:val="30"/>
          <w:rFonts w:ascii="Times New Roman" w:hAnsi="宋体" w:eastAsia="宋体" w:cs="Times New Roman"/>
          <w:b w:val="0"/>
          <w:bCs w:val="0"/>
          <w:spacing w:val="-4"/>
        </w:rPr>
        <w:t>九、</w:t>
      </w:r>
      <w:r>
        <w:rPr>
          <w:rFonts w:ascii="Times New Roman" w:hAnsi="宋体" w:eastAsia="宋体" w:cs="Times New Roman"/>
          <w:b w:val="0"/>
          <w:spacing w:val="-4"/>
        </w:rPr>
        <w:t>一</w:t>
      </w:r>
      <w:r>
        <w:rPr>
          <w:rStyle w:val="30"/>
          <w:rFonts w:ascii="Times New Roman" w:hAnsi="宋体" w:eastAsia="宋体" w:cs="Times New Roman"/>
          <w:b w:val="0"/>
          <w:bCs w:val="0"/>
          <w:spacing w:val="-4"/>
        </w:rPr>
        <w:t>般公共预算财政拨款项目支出决算表</w:t>
      </w:r>
      <w:bookmarkEnd w:id="104"/>
      <w:bookmarkEnd w:id="105"/>
    </w:p>
    <w:p>
      <w:pPr>
        <w:pStyle w:val="4"/>
        <w:spacing w:line="560" w:lineRule="exact"/>
        <w:rPr>
          <w:rFonts w:ascii="Times New Roman" w:hAnsi="Times New Roman" w:eastAsia="宋体" w:cs="Times New Roman"/>
          <w:spacing w:val="-4"/>
        </w:rPr>
      </w:pPr>
      <w:bookmarkStart w:id="106" w:name="_Toc15396628"/>
      <w:bookmarkStart w:id="107" w:name="_Toc16559"/>
      <w:r>
        <w:rPr>
          <w:rStyle w:val="30"/>
          <w:rFonts w:ascii="Times New Roman" w:hAnsi="宋体" w:eastAsia="宋体" w:cs="Times New Roman"/>
          <w:b w:val="0"/>
          <w:bCs w:val="0"/>
          <w:spacing w:val="-4"/>
        </w:rPr>
        <w:t>十、</w:t>
      </w:r>
      <w:bookmarkEnd w:id="106"/>
      <w:r>
        <w:rPr>
          <w:rFonts w:ascii="Times New Roman" w:hAnsi="宋体" w:eastAsia="宋体" w:cs="Times New Roman"/>
          <w:b w:val="0"/>
          <w:spacing w:val="-4"/>
        </w:rPr>
        <w:t>政</w:t>
      </w:r>
      <w:r>
        <w:rPr>
          <w:rStyle w:val="30"/>
          <w:rFonts w:ascii="Times New Roman" w:hAnsi="宋体" w:eastAsia="宋体" w:cs="Times New Roman"/>
          <w:b w:val="0"/>
          <w:bCs w:val="0"/>
          <w:spacing w:val="-4"/>
        </w:rPr>
        <w:t>府性基金预算财政拨款收入支出决算表</w:t>
      </w:r>
      <w:bookmarkEnd w:id="107"/>
    </w:p>
    <w:p>
      <w:pPr>
        <w:pStyle w:val="4"/>
        <w:spacing w:line="560" w:lineRule="exact"/>
        <w:rPr>
          <w:rFonts w:ascii="Times New Roman" w:hAnsi="Times New Roman" w:eastAsia="宋体" w:cs="Times New Roman"/>
          <w:spacing w:val="-4"/>
        </w:rPr>
      </w:pPr>
      <w:bookmarkStart w:id="108" w:name="_Toc15396629"/>
      <w:bookmarkStart w:id="109" w:name="_Toc97"/>
      <w:r>
        <w:rPr>
          <w:rStyle w:val="30"/>
          <w:rFonts w:ascii="Times New Roman" w:hAnsi="宋体" w:eastAsia="宋体" w:cs="Times New Roman"/>
          <w:b w:val="0"/>
          <w:bCs w:val="0"/>
          <w:spacing w:val="-4"/>
        </w:rPr>
        <w:t>十一、</w:t>
      </w:r>
      <w:bookmarkEnd w:id="108"/>
      <w:r>
        <w:rPr>
          <w:rFonts w:ascii="Times New Roman" w:hAnsi="宋体" w:eastAsia="宋体" w:cs="Times New Roman"/>
          <w:b w:val="0"/>
          <w:spacing w:val="-4"/>
        </w:rPr>
        <w:t>国</w:t>
      </w:r>
      <w:r>
        <w:rPr>
          <w:rStyle w:val="30"/>
          <w:rFonts w:ascii="Times New Roman" w:hAnsi="宋体" w:eastAsia="宋体" w:cs="Times New Roman"/>
          <w:b w:val="0"/>
          <w:bCs w:val="0"/>
          <w:spacing w:val="-4"/>
        </w:rPr>
        <w:t>有资本经营预算财政拨款收入支出决算表</w:t>
      </w:r>
      <w:bookmarkEnd w:id="109"/>
    </w:p>
    <w:p>
      <w:pPr>
        <w:pStyle w:val="4"/>
        <w:spacing w:line="560" w:lineRule="exact"/>
        <w:rPr>
          <w:rFonts w:ascii="Times New Roman" w:hAnsi="Times New Roman" w:eastAsia="宋体" w:cs="Times New Roman"/>
          <w:spacing w:val="-4"/>
        </w:rPr>
      </w:pPr>
      <w:bookmarkStart w:id="110" w:name="_Toc15396630"/>
      <w:bookmarkStart w:id="111" w:name="_Toc29064"/>
      <w:r>
        <w:rPr>
          <w:rStyle w:val="30"/>
          <w:rFonts w:ascii="Times New Roman" w:hAnsi="宋体" w:eastAsia="宋体" w:cs="Times New Roman"/>
          <w:b w:val="0"/>
          <w:bCs w:val="0"/>
          <w:spacing w:val="-4"/>
        </w:rPr>
        <w:t>十二、</w:t>
      </w:r>
      <w:bookmarkEnd w:id="110"/>
      <w:r>
        <w:rPr>
          <w:rStyle w:val="30"/>
          <w:rFonts w:ascii="Times New Roman" w:hAnsi="宋体" w:eastAsia="宋体" w:cs="Times New Roman"/>
          <w:b w:val="0"/>
          <w:bCs w:val="0"/>
          <w:spacing w:val="-4"/>
        </w:rPr>
        <w:t>国有资本经营预算财政拨款支出决算表</w:t>
      </w:r>
      <w:bookmarkEnd w:id="111"/>
    </w:p>
    <w:p>
      <w:pPr>
        <w:pStyle w:val="4"/>
        <w:spacing w:line="560" w:lineRule="exact"/>
        <w:rPr>
          <w:rFonts w:ascii="Times New Roman" w:hAnsi="Times New Roman" w:eastAsia="宋体" w:cs="Times New Roman"/>
          <w:spacing w:val="-4"/>
        </w:rPr>
      </w:pPr>
      <w:bookmarkStart w:id="112" w:name="_Toc15396631"/>
      <w:bookmarkStart w:id="113" w:name="_Toc19404"/>
      <w:r>
        <w:rPr>
          <w:rStyle w:val="30"/>
          <w:rFonts w:ascii="Times New Roman" w:hAnsi="宋体" w:eastAsia="宋体" w:cs="Times New Roman"/>
          <w:b w:val="0"/>
          <w:bCs w:val="0"/>
          <w:spacing w:val="-4"/>
        </w:rPr>
        <w:t>十三、</w:t>
      </w:r>
      <w:bookmarkEnd w:id="112"/>
      <w:r>
        <w:rPr>
          <w:rStyle w:val="30"/>
          <w:rFonts w:ascii="Times New Roman" w:hAnsi="宋体" w:eastAsia="宋体" w:cs="Times New Roman"/>
          <w:b w:val="0"/>
          <w:bCs w:val="0"/>
          <w:spacing w:val="-4"/>
        </w:rPr>
        <w:t>财政拨款</w:t>
      </w:r>
      <w:r>
        <w:rPr>
          <w:rStyle w:val="30"/>
          <w:rFonts w:ascii="Times New Roman" w:hAnsi="Times New Roman" w:eastAsia="宋体" w:cs="Times New Roman"/>
          <w:b w:val="0"/>
          <w:bCs w:val="0"/>
          <w:spacing w:val="-4"/>
        </w:rPr>
        <w:t>“</w:t>
      </w:r>
      <w:r>
        <w:rPr>
          <w:rStyle w:val="30"/>
          <w:rFonts w:ascii="Times New Roman" w:hAnsi="宋体" w:eastAsia="宋体" w:cs="Times New Roman"/>
          <w:b w:val="0"/>
          <w:bCs w:val="0"/>
          <w:spacing w:val="-4"/>
        </w:rPr>
        <w:t>三公</w:t>
      </w:r>
      <w:r>
        <w:rPr>
          <w:rStyle w:val="30"/>
          <w:rFonts w:ascii="Times New Roman" w:hAnsi="Times New Roman" w:eastAsia="宋体" w:cs="Times New Roman"/>
          <w:b w:val="0"/>
          <w:bCs w:val="0"/>
          <w:spacing w:val="-4"/>
        </w:rPr>
        <w:t>”</w:t>
      </w:r>
      <w:r>
        <w:rPr>
          <w:rStyle w:val="30"/>
          <w:rFonts w:ascii="Times New Roman" w:hAnsi="宋体" w:eastAsia="宋体" w:cs="Times New Roman"/>
          <w:b w:val="0"/>
          <w:bCs w:val="0"/>
          <w:spacing w:val="-4"/>
        </w:rPr>
        <w:t>经费支出决算表</w:t>
      </w:r>
      <w:bookmarkEnd w:id="113"/>
    </w:p>
    <w:sectPr>
      <w:footerReference r:id="rId9" w:type="default"/>
      <w:pgSz w:w="11906" w:h="16838"/>
      <w:pgMar w:top="2098" w:right="1474" w:bottom="1985" w:left="1588"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
    <w:altName w:val="URW Bookman"/>
    <w:panose1 w:val="00000000000000000000"/>
    <w:charset w:val="00"/>
    <w:family w:val="roman"/>
    <w:pitch w:val="default"/>
    <w:sig w:usb0="00000000" w:usb1="00000000" w:usb2="00000000" w:usb3="00000000" w:csb0="00000000" w:csb1="00000000"/>
  </w:font>
  <w:font w:name="等线">
    <w:altName w:val="原版宋体"/>
    <w:panose1 w:val="02010600030101010101"/>
    <w:charset w:val="86"/>
    <w:family w:val="auto"/>
    <w:pitch w:val="default"/>
    <w:sig w:usb0="00000000" w:usb1="00000000" w:usb2="00000016" w:usb3="00000000" w:csb0="0004000F" w:csb1="00000000"/>
  </w:font>
  <w:font w:name="微软雅黑">
    <w:altName w:val="黑体"/>
    <w:panose1 w:val="020B0503020204020204"/>
    <w:charset w:val="86"/>
    <w:family w:val="swiss"/>
    <w:pitch w:val="default"/>
    <w:sig w:usb0="00000000" w:usb1="00000000" w:usb2="00000016" w:usb3="00000000" w:csb0="0004001F" w:csb1="00000000"/>
  </w:font>
  <w:font w:name="Helvetica Neue">
    <w:altName w:val="华文仿宋"/>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FreeSerif">
    <w:panose1 w:val="02020603050405020304"/>
    <w:charset w:val="00"/>
    <w:family w:val="auto"/>
    <w:pitch w:val="default"/>
    <w:sig w:usb0="E59FAFFF" w:usb1="C200FDFF" w:usb2="43501B29" w:usb3="04000043" w:csb0="600101FF" w:csb1="FFFF0000"/>
  </w:font>
  <w:font w:name="URW Bookman">
    <w:panose1 w:val="00000400000000000000"/>
    <w:charset w:val="00"/>
    <w:family w:val="auto"/>
    <w:pitch w:val="default"/>
    <w:sig w:usb0="00000287" w:usb1="00000800" w:usb2="00000000" w:usb3="00000000" w:csb0="6000009F" w:csb1="00000000"/>
  </w:font>
  <w:font w:name="原版宋体">
    <w:panose1 w:val="02010600030101010101"/>
    <w:charset w:val="86"/>
    <w:family w:val="auto"/>
    <w:pitch w:val="default"/>
    <w:sig w:usb0="00000003" w:usb1="080E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w:pict>
        <v:shape id="_x0000_s2055" o:spid="_x0000_s2055"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w:r>
    <w:sdt>
      <w:sdtPr>
        <w:id w:val="-1994781956"/>
        <w:showingPlcHdr/>
      </w:sdtPr>
      <w:sdtContent/>
    </w:sdt>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w:pict>
        <v:shape id="_x0000_s2056" o:spid="_x0000_s2056"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w:pict>
        <v:shape id="_x0000_s2053" o:spid="_x0000_s205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0"/>
                </w:pPr>
              </w:p>
            </w:txbxContent>
          </v:textbox>
        </v:shape>
      </w:pict>
    </w:r>
    <w:sdt>
      <w:sdtPr>
        <w:id w:val="147455930"/>
        <w:showingPlcHdr/>
      </w:sdtPr>
      <w:sdtContent/>
    </w:sdt>
  </w:p>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w:pict>
        <v:shape id="_x0000_s2054" o:spid="_x0000_s2054"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w:pict>
        <v:shape id="_x0000_s2059" o:spid="_x0000_s205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pPr>
                  <w:pStyle w:val="10"/>
                </w:pPr>
              </w:p>
            </w:txbxContent>
          </v:textbox>
        </v:shape>
      </w:pict>
    </w:r>
    <w:sdt>
      <w:sdtPr>
        <w:id w:val="147466493"/>
        <w:showingPlcHdr/>
      </w:sdtPr>
      <w:sdtContent>
        <w:r>
          <w:rPr>
            <w:rFonts w:hint="eastAsia"/>
            <w:lang w:eastAsia="zh-CN"/>
          </w:rPr>
          <w:t xml:space="preserve">     </w:t>
        </w:r>
      </w:sdtContent>
    </w:sdt>
  </w:p>
  <w:p>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w:pict>
        <v:shape id="_x0000_s2060" o:spid="_x0000_s2060"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w:r>
    <w:r>
      <w:rPr>
        <w:sz w:val="18"/>
      </w:rPr>
      <w:pict>
        <v:shape id="_x0000_s2061" o:spid="_x0000_s2061"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pPr>
                  <w:pStyle w:val="10"/>
                </w:pPr>
              </w:p>
            </w:txbxContent>
          </v:textbox>
        </v:shape>
      </w:pict>
    </w:r>
    <w:sdt>
      <w:sdtPr>
        <w:id w:val="147458404"/>
        <w:showingPlcHdr/>
      </w:sdtPr>
      <w:sdtContent>
        <w:r>
          <w:rPr>
            <w:rFonts w:hint="eastAsia"/>
            <w:lang w:eastAsia="zh-CN"/>
          </w:rPr>
          <w:t xml:space="preserve">     </w:t>
        </w:r>
      </w:sdtContent>
    </w:sdt>
  </w:p>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FA047D"/>
    <w:multiLevelType w:val="singleLevel"/>
    <w:tmpl w:val="E2FA047D"/>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mirrorMargins w:val="true"/>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mM3NTgzNWJkYzhlOGExMDI3MDM0YjI3ODA4ZjA4MWQifQ=="/>
  </w:docVars>
  <w:rsids>
    <w:rsidRoot w:val="00F1361C"/>
    <w:rsid w:val="000073C9"/>
    <w:rsid w:val="0002019B"/>
    <w:rsid w:val="000215C0"/>
    <w:rsid w:val="000222C6"/>
    <w:rsid w:val="0002549F"/>
    <w:rsid w:val="00027188"/>
    <w:rsid w:val="000422E1"/>
    <w:rsid w:val="000468DB"/>
    <w:rsid w:val="000473C1"/>
    <w:rsid w:val="0005128C"/>
    <w:rsid w:val="00055C41"/>
    <w:rsid w:val="000642A1"/>
    <w:rsid w:val="0006487A"/>
    <w:rsid w:val="00065F8F"/>
    <w:rsid w:val="00067A45"/>
    <w:rsid w:val="00070A43"/>
    <w:rsid w:val="000768F2"/>
    <w:rsid w:val="00077AC3"/>
    <w:rsid w:val="000863C4"/>
    <w:rsid w:val="0009184B"/>
    <w:rsid w:val="00094236"/>
    <w:rsid w:val="0009593C"/>
    <w:rsid w:val="00097322"/>
    <w:rsid w:val="000A6A92"/>
    <w:rsid w:val="000B047F"/>
    <w:rsid w:val="000B1A8E"/>
    <w:rsid w:val="000B2063"/>
    <w:rsid w:val="000B5923"/>
    <w:rsid w:val="000B5A48"/>
    <w:rsid w:val="000B6FF3"/>
    <w:rsid w:val="000C1DAC"/>
    <w:rsid w:val="000C3467"/>
    <w:rsid w:val="000C3CA6"/>
    <w:rsid w:val="000D1267"/>
    <w:rsid w:val="000D1D50"/>
    <w:rsid w:val="000D2E0B"/>
    <w:rsid w:val="000D54A4"/>
    <w:rsid w:val="000D5782"/>
    <w:rsid w:val="000D692B"/>
    <w:rsid w:val="000E6613"/>
    <w:rsid w:val="000E7119"/>
    <w:rsid w:val="000F191C"/>
    <w:rsid w:val="000F24A7"/>
    <w:rsid w:val="000F6A4D"/>
    <w:rsid w:val="00114E9B"/>
    <w:rsid w:val="001224FF"/>
    <w:rsid w:val="00125EDF"/>
    <w:rsid w:val="001262FB"/>
    <w:rsid w:val="00136D0C"/>
    <w:rsid w:val="00137D0C"/>
    <w:rsid w:val="00142216"/>
    <w:rsid w:val="00144D6A"/>
    <w:rsid w:val="001466E5"/>
    <w:rsid w:val="0014729F"/>
    <w:rsid w:val="0015694D"/>
    <w:rsid w:val="001570A7"/>
    <w:rsid w:val="00157BAB"/>
    <w:rsid w:val="00161CB5"/>
    <w:rsid w:val="001654D1"/>
    <w:rsid w:val="00174518"/>
    <w:rsid w:val="0018106D"/>
    <w:rsid w:val="00185972"/>
    <w:rsid w:val="001877A7"/>
    <w:rsid w:val="00191536"/>
    <w:rsid w:val="00196687"/>
    <w:rsid w:val="001B5E53"/>
    <w:rsid w:val="001B6557"/>
    <w:rsid w:val="001B7D59"/>
    <w:rsid w:val="001C0962"/>
    <w:rsid w:val="001C22CB"/>
    <w:rsid w:val="001D270E"/>
    <w:rsid w:val="001D3C46"/>
    <w:rsid w:val="001D42AF"/>
    <w:rsid w:val="001D7531"/>
    <w:rsid w:val="001E2FF1"/>
    <w:rsid w:val="001E5EDA"/>
    <w:rsid w:val="001E737D"/>
    <w:rsid w:val="001F0592"/>
    <w:rsid w:val="001F2FE0"/>
    <w:rsid w:val="001F7506"/>
    <w:rsid w:val="002006CD"/>
    <w:rsid w:val="00200AA7"/>
    <w:rsid w:val="00202B36"/>
    <w:rsid w:val="00204B7A"/>
    <w:rsid w:val="00204CDE"/>
    <w:rsid w:val="0021101A"/>
    <w:rsid w:val="00211EF7"/>
    <w:rsid w:val="00216255"/>
    <w:rsid w:val="00217081"/>
    <w:rsid w:val="00220536"/>
    <w:rsid w:val="002266CF"/>
    <w:rsid w:val="002273C3"/>
    <w:rsid w:val="00235629"/>
    <w:rsid w:val="002451E2"/>
    <w:rsid w:val="00247B82"/>
    <w:rsid w:val="00256D1B"/>
    <w:rsid w:val="00260C38"/>
    <w:rsid w:val="002616C0"/>
    <w:rsid w:val="00265372"/>
    <w:rsid w:val="002662AA"/>
    <w:rsid w:val="00280496"/>
    <w:rsid w:val="002826CA"/>
    <w:rsid w:val="0028594D"/>
    <w:rsid w:val="00291C1A"/>
    <w:rsid w:val="00294DC9"/>
    <w:rsid w:val="00295495"/>
    <w:rsid w:val="002A2B69"/>
    <w:rsid w:val="002A31DE"/>
    <w:rsid w:val="002A6002"/>
    <w:rsid w:val="002A7ECF"/>
    <w:rsid w:val="002B2613"/>
    <w:rsid w:val="002C1BE4"/>
    <w:rsid w:val="002C77B1"/>
    <w:rsid w:val="002D0564"/>
    <w:rsid w:val="002D3747"/>
    <w:rsid w:val="002D6A29"/>
    <w:rsid w:val="002D6D05"/>
    <w:rsid w:val="002E4B58"/>
    <w:rsid w:val="002F1818"/>
    <w:rsid w:val="002F48DA"/>
    <w:rsid w:val="002F567B"/>
    <w:rsid w:val="00305DB3"/>
    <w:rsid w:val="00320DA3"/>
    <w:rsid w:val="003216A9"/>
    <w:rsid w:val="0032562E"/>
    <w:rsid w:val="00326D45"/>
    <w:rsid w:val="00330161"/>
    <w:rsid w:val="003304A6"/>
    <w:rsid w:val="00335974"/>
    <w:rsid w:val="00335A74"/>
    <w:rsid w:val="003424AC"/>
    <w:rsid w:val="00344137"/>
    <w:rsid w:val="0034603A"/>
    <w:rsid w:val="0036561B"/>
    <w:rsid w:val="0037013F"/>
    <w:rsid w:val="00376EB3"/>
    <w:rsid w:val="00380C92"/>
    <w:rsid w:val="00387443"/>
    <w:rsid w:val="003A484F"/>
    <w:rsid w:val="003A4883"/>
    <w:rsid w:val="003A530D"/>
    <w:rsid w:val="003A6C02"/>
    <w:rsid w:val="003B0BE0"/>
    <w:rsid w:val="003B0C1B"/>
    <w:rsid w:val="003B688C"/>
    <w:rsid w:val="003C0291"/>
    <w:rsid w:val="003C2774"/>
    <w:rsid w:val="003C39AE"/>
    <w:rsid w:val="003C7B60"/>
    <w:rsid w:val="003D0C0F"/>
    <w:rsid w:val="003D1FB2"/>
    <w:rsid w:val="003D25BC"/>
    <w:rsid w:val="003D66DA"/>
    <w:rsid w:val="003E1310"/>
    <w:rsid w:val="003E6F55"/>
    <w:rsid w:val="003F77FA"/>
    <w:rsid w:val="00406254"/>
    <w:rsid w:val="00412FD7"/>
    <w:rsid w:val="004223DE"/>
    <w:rsid w:val="0043316B"/>
    <w:rsid w:val="00434489"/>
    <w:rsid w:val="00437085"/>
    <w:rsid w:val="00443880"/>
    <w:rsid w:val="0044546D"/>
    <w:rsid w:val="004464F4"/>
    <w:rsid w:val="004465AD"/>
    <w:rsid w:val="00446E63"/>
    <w:rsid w:val="004512D3"/>
    <w:rsid w:val="00455CCC"/>
    <w:rsid w:val="00462769"/>
    <w:rsid w:val="00467094"/>
    <w:rsid w:val="00471401"/>
    <w:rsid w:val="004733CC"/>
    <w:rsid w:val="00473F31"/>
    <w:rsid w:val="00481154"/>
    <w:rsid w:val="0048263A"/>
    <w:rsid w:val="00482A23"/>
    <w:rsid w:val="00487E5D"/>
    <w:rsid w:val="0049655A"/>
    <w:rsid w:val="004A711F"/>
    <w:rsid w:val="004B0BE8"/>
    <w:rsid w:val="004B199D"/>
    <w:rsid w:val="004B2C15"/>
    <w:rsid w:val="004B41A1"/>
    <w:rsid w:val="004B430A"/>
    <w:rsid w:val="004B4690"/>
    <w:rsid w:val="004C1C11"/>
    <w:rsid w:val="004C47EC"/>
    <w:rsid w:val="004E0A2D"/>
    <w:rsid w:val="004E206B"/>
    <w:rsid w:val="004E60D2"/>
    <w:rsid w:val="004E6DF7"/>
    <w:rsid w:val="004F0FBD"/>
    <w:rsid w:val="004F76D1"/>
    <w:rsid w:val="00500CEF"/>
    <w:rsid w:val="00505A47"/>
    <w:rsid w:val="00512FDA"/>
    <w:rsid w:val="00513901"/>
    <w:rsid w:val="00520DA0"/>
    <w:rsid w:val="00522D66"/>
    <w:rsid w:val="00523095"/>
    <w:rsid w:val="00525AE3"/>
    <w:rsid w:val="00525E15"/>
    <w:rsid w:val="00534C2A"/>
    <w:rsid w:val="005448B2"/>
    <w:rsid w:val="00555AFB"/>
    <w:rsid w:val="0055624B"/>
    <w:rsid w:val="00565C45"/>
    <w:rsid w:val="005664BB"/>
    <w:rsid w:val="00566FFA"/>
    <w:rsid w:val="005736D9"/>
    <w:rsid w:val="0057481D"/>
    <w:rsid w:val="00577C1C"/>
    <w:rsid w:val="00582B1C"/>
    <w:rsid w:val="005841E9"/>
    <w:rsid w:val="0058486E"/>
    <w:rsid w:val="00585B33"/>
    <w:rsid w:val="00586B58"/>
    <w:rsid w:val="0059014D"/>
    <w:rsid w:val="0059218F"/>
    <w:rsid w:val="00593BE7"/>
    <w:rsid w:val="005A0FB0"/>
    <w:rsid w:val="005A3123"/>
    <w:rsid w:val="005B5C64"/>
    <w:rsid w:val="005B67C6"/>
    <w:rsid w:val="005C1195"/>
    <w:rsid w:val="005C5337"/>
    <w:rsid w:val="005C5F93"/>
    <w:rsid w:val="005C6BD0"/>
    <w:rsid w:val="005D1C8B"/>
    <w:rsid w:val="005D468D"/>
    <w:rsid w:val="005D5CED"/>
    <w:rsid w:val="005D7D8C"/>
    <w:rsid w:val="005E57A1"/>
    <w:rsid w:val="005F1A4C"/>
    <w:rsid w:val="00605688"/>
    <w:rsid w:val="00606EC8"/>
    <w:rsid w:val="006070AF"/>
    <w:rsid w:val="00607E6C"/>
    <w:rsid w:val="006101B1"/>
    <w:rsid w:val="00614E44"/>
    <w:rsid w:val="0062270A"/>
    <w:rsid w:val="00622830"/>
    <w:rsid w:val="00623DA0"/>
    <w:rsid w:val="00630AEF"/>
    <w:rsid w:val="006325F8"/>
    <w:rsid w:val="00633463"/>
    <w:rsid w:val="00634C9A"/>
    <w:rsid w:val="0063595A"/>
    <w:rsid w:val="006440E4"/>
    <w:rsid w:val="00646337"/>
    <w:rsid w:val="006543A1"/>
    <w:rsid w:val="0066263A"/>
    <w:rsid w:val="0066343B"/>
    <w:rsid w:val="00664777"/>
    <w:rsid w:val="0067280B"/>
    <w:rsid w:val="006748A4"/>
    <w:rsid w:val="006752EB"/>
    <w:rsid w:val="00681A31"/>
    <w:rsid w:val="00683E73"/>
    <w:rsid w:val="00685C9D"/>
    <w:rsid w:val="00696BBA"/>
    <w:rsid w:val="00697434"/>
    <w:rsid w:val="006A108F"/>
    <w:rsid w:val="006A3141"/>
    <w:rsid w:val="006A5BF2"/>
    <w:rsid w:val="006A5E34"/>
    <w:rsid w:val="006B0D6E"/>
    <w:rsid w:val="006B2422"/>
    <w:rsid w:val="006B2B9A"/>
    <w:rsid w:val="006B4851"/>
    <w:rsid w:val="006B57E8"/>
    <w:rsid w:val="006C1937"/>
    <w:rsid w:val="006C27AF"/>
    <w:rsid w:val="006D1C28"/>
    <w:rsid w:val="006D5E85"/>
    <w:rsid w:val="006D7498"/>
    <w:rsid w:val="006F020C"/>
    <w:rsid w:val="007062B1"/>
    <w:rsid w:val="007104BB"/>
    <w:rsid w:val="00710CF5"/>
    <w:rsid w:val="00710E66"/>
    <w:rsid w:val="007127B7"/>
    <w:rsid w:val="007140EB"/>
    <w:rsid w:val="00716CB0"/>
    <w:rsid w:val="0071798E"/>
    <w:rsid w:val="007416B6"/>
    <w:rsid w:val="00744A46"/>
    <w:rsid w:val="00744CFD"/>
    <w:rsid w:val="0074586D"/>
    <w:rsid w:val="00746F48"/>
    <w:rsid w:val="00747638"/>
    <w:rsid w:val="00750453"/>
    <w:rsid w:val="00754029"/>
    <w:rsid w:val="0075404D"/>
    <w:rsid w:val="007564DF"/>
    <w:rsid w:val="0076182A"/>
    <w:rsid w:val="00767B7E"/>
    <w:rsid w:val="0077547E"/>
    <w:rsid w:val="007770C3"/>
    <w:rsid w:val="00784D24"/>
    <w:rsid w:val="00785FBA"/>
    <w:rsid w:val="00786E4A"/>
    <w:rsid w:val="007875EB"/>
    <w:rsid w:val="00790884"/>
    <w:rsid w:val="007912A7"/>
    <w:rsid w:val="0079426B"/>
    <w:rsid w:val="00796C02"/>
    <w:rsid w:val="007A47A3"/>
    <w:rsid w:val="007B7F26"/>
    <w:rsid w:val="007C3B6D"/>
    <w:rsid w:val="007C79E7"/>
    <w:rsid w:val="007D1682"/>
    <w:rsid w:val="007D312A"/>
    <w:rsid w:val="007D3F19"/>
    <w:rsid w:val="007D76B0"/>
    <w:rsid w:val="007E23B0"/>
    <w:rsid w:val="007E23E5"/>
    <w:rsid w:val="007E5488"/>
    <w:rsid w:val="007F1991"/>
    <w:rsid w:val="007F2C2F"/>
    <w:rsid w:val="007F2F10"/>
    <w:rsid w:val="007F55FC"/>
    <w:rsid w:val="007F5665"/>
    <w:rsid w:val="007F5B24"/>
    <w:rsid w:val="00800112"/>
    <w:rsid w:val="00813348"/>
    <w:rsid w:val="00816691"/>
    <w:rsid w:val="008253BB"/>
    <w:rsid w:val="0083050A"/>
    <w:rsid w:val="0083706E"/>
    <w:rsid w:val="008408F6"/>
    <w:rsid w:val="00841B06"/>
    <w:rsid w:val="008423A5"/>
    <w:rsid w:val="008453A2"/>
    <w:rsid w:val="00850625"/>
    <w:rsid w:val="00853718"/>
    <w:rsid w:val="00855221"/>
    <w:rsid w:val="00860645"/>
    <w:rsid w:val="008611F6"/>
    <w:rsid w:val="00864DB3"/>
    <w:rsid w:val="00871F71"/>
    <w:rsid w:val="00872FD8"/>
    <w:rsid w:val="008732F8"/>
    <w:rsid w:val="008771F7"/>
    <w:rsid w:val="00881A65"/>
    <w:rsid w:val="00884F2E"/>
    <w:rsid w:val="00885AF4"/>
    <w:rsid w:val="008939CD"/>
    <w:rsid w:val="00894A63"/>
    <w:rsid w:val="008A02FF"/>
    <w:rsid w:val="008A03AB"/>
    <w:rsid w:val="008A16A8"/>
    <w:rsid w:val="008B768C"/>
    <w:rsid w:val="008C1C82"/>
    <w:rsid w:val="008C304F"/>
    <w:rsid w:val="008C4DB1"/>
    <w:rsid w:val="008C4EAF"/>
    <w:rsid w:val="008C5176"/>
    <w:rsid w:val="008C7FD0"/>
    <w:rsid w:val="008D5E25"/>
    <w:rsid w:val="008E1DE7"/>
    <w:rsid w:val="008E2385"/>
    <w:rsid w:val="008E707C"/>
    <w:rsid w:val="008E712B"/>
    <w:rsid w:val="008E716C"/>
    <w:rsid w:val="008F55AF"/>
    <w:rsid w:val="008F6B7E"/>
    <w:rsid w:val="00900B08"/>
    <w:rsid w:val="00902155"/>
    <w:rsid w:val="00902FA3"/>
    <w:rsid w:val="00905ED9"/>
    <w:rsid w:val="00906C54"/>
    <w:rsid w:val="00913336"/>
    <w:rsid w:val="00923564"/>
    <w:rsid w:val="0092392E"/>
    <w:rsid w:val="00925F03"/>
    <w:rsid w:val="00925F46"/>
    <w:rsid w:val="009315F9"/>
    <w:rsid w:val="00931857"/>
    <w:rsid w:val="00932AA8"/>
    <w:rsid w:val="00933499"/>
    <w:rsid w:val="00935C98"/>
    <w:rsid w:val="00941156"/>
    <w:rsid w:val="009425FA"/>
    <w:rsid w:val="00943DCE"/>
    <w:rsid w:val="00946945"/>
    <w:rsid w:val="009507F1"/>
    <w:rsid w:val="00951248"/>
    <w:rsid w:val="0095152F"/>
    <w:rsid w:val="00954C49"/>
    <w:rsid w:val="00955E37"/>
    <w:rsid w:val="00957B62"/>
    <w:rsid w:val="00965AC9"/>
    <w:rsid w:val="0097099F"/>
    <w:rsid w:val="00971997"/>
    <w:rsid w:val="00971FFC"/>
    <w:rsid w:val="00974776"/>
    <w:rsid w:val="009777C4"/>
    <w:rsid w:val="00982150"/>
    <w:rsid w:val="00982A2B"/>
    <w:rsid w:val="0098660A"/>
    <w:rsid w:val="00991D04"/>
    <w:rsid w:val="009931C3"/>
    <w:rsid w:val="00994DDB"/>
    <w:rsid w:val="009A0CFA"/>
    <w:rsid w:val="009B2C43"/>
    <w:rsid w:val="009B4EAE"/>
    <w:rsid w:val="009B7573"/>
    <w:rsid w:val="009C1A18"/>
    <w:rsid w:val="009C22F4"/>
    <w:rsid w:val="009C2A4B"/>
    <w:rsid w:val="009C2E98"/>
    <w:rsid w:val="009C68C6"/>
    <w:rsid w:val="009D3447"/>
    <w:rsid w:val="009D4711"/>
    <w:rsid w:val="009D4D20"/>
    <w:rsid w:val="009E14FA"/>
    <w:rsid w:val="009E1DCE"/>
    <w:rsid w:val="009E4DB6"/>
    <w:rsid w:val="009F1185"/>
    <w:rsid w:val="009F18CD"/>
    <w:rsid w:val="009F2A13"/>
    <w:rsid w:val="009F5020"/>
    <w:rsid w:val="009F5540"/>
    <w:rsid w:val="009F7527"/>
    <w:rsid w:val="00A04EB0"/>
    <w:rsid w:val="00A13CC1"/>
    <w:rsid w:val="00A16847"/>
    <w:rsid w:val="00A237D8"/>
    <w:rsid w:val="00A268C4"/>
    <w:rsid w:val="00A307CD"/>
    <w:rsid w:val="00A331C8"/>
    <w:rsid w:val="00A40A00"/>
    <w:rsid w:val="00A4142F"/>
    <w:rsid w:val="00A422EB"/>
    <w:rsid w:val="00A42D69"/>
    <w:rsid w:val="00A45BB7"/>
    <w:rsid w:val="00A47249"/>
    <w:rsid w:val="00A477AE"/>
    <w:rsid w:val="00A55C35"/>
    <w:rsid w:val="00A56DF2"/>
    <w:rsid w:val="00A56E6E"/>
    <w:rsid w:val="00A676DA"/>
    <w:rsid w:val="00A67AB5"/>
    <w:rsid w:val="00A73373"/>
    <w:rsid w:val="00A733B2"/>
    <w:rsid w:val="00A741C2"/>
    <w:rsid w:val="00A75100"/>
    <w:rsid w:val="00A751BD"/>
    <w:rsid w:val="00A754AF"/>
    <w:rsid w:val="00A8424D"/>
    <w:rsid w:val="00A8438B"/>
    <w:rsid w:val="00A91760"/>
    <w:rsid w:val="00A93B00"/>
    <w:rsid w:val="00A93C21"/>
    <w:rsid w:val="00AB64C9"/>
    <w:rsid w:val="00AC0843"/>
    <w:rsid w:val="00AC3C6A"/>
    <w:rsid w:val="00AC3CD0"/>
    <w:rsid w:val="00AD2720"/>
    <w:rsid w:val="00AD4812"/>
    <w:rsid w:val="00AD5620"/>
    <w:rsid w:val="00AD594D"/>
    <w:rsid w:val="00AD656B"/>
    <w:rsid w:val="00AD74D1"/>
    <w:rsid w:val="00AD7C1B"/>
    <w:rsid w:val="00AE16BA"/>
    <w:rsid w:val="00AE1EBE"/>
    <w:rsid w:val="00AF0A50"/>
    <w:rsid w:val="00AF10B1"/>
    <w:rsid w:val="00AF6139"/>
    <w:rsid w:val="00AF65E3"/>
    <w:rsid w:val="00B03C9D"/>
    <w:rsid w:val="00B060AE"/>
    <w:rsid w:val="00B10517"/>
    <w:rsid w:val="00B14B27"/>
    <w:rsid w:val="00B14E76"/>
    <w:rsid w:val="00B161B8"/>
    <w:rsid w:val="00B2048C"/>
    <w:rsid w:val="00B23858"/>
    <w:rsid w:val="00B310B9"/>
    <w:rsid w:val="00B32DFC"/>
    <w:rsid w:val="00B35F3F"/>
    <w:rsid w:val="00B36CBB"/>
    <w:rsid w:val="00B425E0"/>
    <w:rsid w:val="00B440AA"/>
    <w:rsid w:val="00B44B70"/>
    <w:rsid w:val="00B51C4A"/>
    <w:rsid w:val="00B53C56"/>
    <w:rsid w:val="00B57DAF"/>
    <w:rsid w:val="00B600E3"/>
    <w:rsid w:val="00B77EA6"/>
    <w:rsid w:val="00B81598"/>
    <w:rsid w:val="00B841F1"/>
    <w:rsid w:val="00B84924"/>
    <w:rsid w:val="00B8530A"/>
    <w:rsid w:val="00B87889"/>
    <w:rsid w:val="00B944D6"/>
    <w:rsid w:val="00BA31C1"/>
    <w:rsid w:val="00BB0299"/>
    <w:rsid w:val="00BB4DF0"/>
    <w:rsid w:val="00BC289F"/>
    <w:rsid w:val="00BC2C39"/>
    <w:rsid w:val="00BC2D50"/>
    <w:rsid w:val="00BC5361"/>
    <w:rsid w:val="00BC5460"/>
    <w:rsid w:val="00BC6B50"/>
    <w:rsid w:val="00BD0E25"/>
    <w:rsid w:val="00BD517A"/>
    <w:rsid w:val="00BF3226"/>
    <w:rsid w:val="00BF5BD6"/>
    <w:rsid w:val="00C03E31"/>
    <w:rsid w:val="00C23989"/>
    <w:rsid w:val="00C33E72"/>
    <w:rsid w:val="00C349B3"/>
    <w:rsid w:val="00C354B2"/>
    <w:rsid w:val="00C35554"/>
    <w:rsid w:val="00C4087C"/>
    <w:rsid w:val="00C42709"/>
    <w:rsid w:val="00C50749"/>
    <w:rsid w:val="00C52575"/>
    <w:rsid w:val="00C533CC"/>
    <w:rsid w:val="00C5652B"/>
    <w:rsid w:val="00C5751C"/>
    <w:rsid w:val="00C605FF"/>
    <w:rsid w:val="00C619A8"/>
    <w:rsid w:val="00C61BFC"/>
    <w:rsid w:val="00C62B85"/>
    <w:rsid w:val="00C63118"/>
    <w:rsid w:val="00C639EA"/>
    <w:rsid w:val="00C65438"/>
    <w:rsid w:val="00C66A7B"/>
    <w:rsid w:val="00C67BDD"/>
    <w:rsid w:val="00C67E2E"/>
    <w:rsid w:val="00C71070"/>
    <w:rsid w:val="00C72497"/>
    <w:rsid w:val="00C83B31"/>
    <w:rsid w:val="00C866F8"/>
    <w:rsid w:val="00C87FD8"/>
    <w:rsid w:val="00C91381"/>
    <w:rsid w:val="00C91CBB"/>
    <w:rsid w:val="00C92A97"/>
    <w:rsid w:val="00CB37F4"/>
    <w:rsid w:val="00CB3AAD"/>
    <w:rsid w:val="00CB4C20"/>
    <w:rsid w:val="00CB4E70"/>
    <w:rsid w:val="00CC09B6"/>
    <w:rsid w:val="00CC666F"/>
    <w:rsid w:val="00CC6BAC"/>
    <w:rsid w:val="00CD1E3F"/>
    <w:rsid w:val="00CD44F4"/>
    <w:rsid w:val="00CE0DA0"/>
    <w:rsid w:val="00CE44F6"/>
    <w:rsid w:val="00CE49DA"/>
    <w:rsid w:val="00CE7B61"/>
    <w:rsid w:val="00D00095"/>
    <w:rsid w:val="00D02775"/>
    <w:rsid w:val="00D11010"/>
    <w:rsid w:val="00D114F0"/>
    <w:rsid w:val="00D20620"/>
    <w:rsid w:val="00D254F7"/>
    <w:rsid w:val="00D26091"/>
    <w:rsid w:val="00D2685C"/>
    <w:rsid w:val="00D27958"/>
    <w:rsid w:val="00D27CA3"/>
    <w:rsid w:val="00D34E7C"/>
    <w:rsid w:val="00D34F17"/>
    <w:rsid w:val="00D35489"/>
    <w:rsid w:val="00D36AFE"/>
    <w:rsid w:val="00D37E48"/>
    <w:rsid w:val="00D402D0"/>
    <w:rsid w:val="00D51276"/>
    <w:rsid w:val="00D54B75"/>
    <w:rsid w:val="00D64304"/>
    <w:rsid w:val="00D66FB0"/>
    <w:rsid w:val="00D67A57"/>
    <w:rsid w:val="00D7035F"/>
    <w:rsid w:val="00D71464"/>
    <w:rsid w:val="00D7481C"/>
    <w:rsid w:val="00D74AA9"/>
    <w:rsid w:val="00D75950"/>
    <w:rsid w:val="00D76144"/>
    <w:rsid w:val="00D81F41"/>
    <w:rsid w:val="00DA4E1E"/>
    <w:rsid w:val="00DA634F"/>
    <w:rsid w:val="00DA65AC"/>
    <w:rsid w:val="00DB1913"/>
    <w:rsid w:val="00DC341C"/>
    <w:rsid w:val="00DC410D"/>
    <w:rsid w:val="00DC48A6"/>
    <w:rsid w:val="00DC4B63"/>
    <w:rsid w:val="00DC5A81"/>
    <w:rsid w:val="00DC68CA"/>
    <w:rsid w:val="00DC7CBA"/>
    <w:rsid w:val="00DD73B7"/>
    <w:rsid w:val="00DE12AF"/>
    <w:rsid w:val="00DE79A6"/>
    <w:rsid w:val="00DF06E2"/>
    <w:rsid w:val="00DF28BC"/>
    <w:rsid w:val="00DF34B9"/>
    <w:rsid w:val="00E01053"/>
    <w:rsid w:val="00E07ACF"/>
    <w:rsid w:val="00E22135"/>
    <w:rsid w:val="00E24D17"/>
    <w:rsid w:val="00E308BD"/>
    <w:rsid w:val="00E32E6D"/>
    <w:rsid w:val="00E331A1"/>
    <w:rsid w:val="00E33202"/>
    <w:rsid w:val="00E336A9"/>
    <w:rsid w:val="00E4484D"/>
    <w:rsid w:val="00E472B1"/>
    <w:rsid w:val="00E50624"/>
    <w:rsid w:val="00E52016"/>
    <w:rsid w:val="00E52636"/>
    <w:rsid w:val="00E5285B"/>
    <w:rsid w:val="00E54483"/>
    <w:rsid w:val="00E56832"/>
    <w:rsid w:val="00E568DF"/>
    <w:rsid w:val="00E64269"/>
    <w:rsid w:val="00E71509"/>
    <w:rsid w:val="00E763E7"/>
    <w:rsid w:val="00E82267"/>
    <w:rsid w:val="00E853CE"/>
    <w:rsid w:val="00E867B6"/>
    <w:rsid w:val="00EA010F"/>
    <w:rsid w:val="00EA1A2B"/>
    <w:rsid w:val="00EA7722"/>
    <w:rsid w:val="00EA7E62"/>
    <w:rsid w:val="00EC16BE"/>
    <w:rsid w:val="00ED171F"/>
    <w:rsid w:val="00ED1B63"/>
    <w:rsid w:val="00ED3170"/>
    <w:rsid w:val="00ED3C1F"/>
    <w:rsid w:val="00ED4085"/>
    <w:rsid w:val="00ED420E"/>
    <w:rsid w:val="00ED6FBE"/>
    <w:rsid w:val="00EE2F57"/>
    <w:rsid w:val="00EE413A"/>
    <w:rsid w:val="00EF2338"/>
    <w:rsid w:val="00EF39C0"/>
    <w:rsid w:val="00EF4C34"/>
    <w:rsid w:val="00EF77C6"/>
    <w:rsid w:val="00F00445"/>
    <w:rsid w:val="00F05438"/>
    <w:rsid w:val="00F07734"/>
    <w:rsid w:val="00F1361C"/>
    <w:rsid w:val="00F156F0"/>
    <w:rsid w:val="00F160C7"/>
    <w:rsid w:val="00F2408F"/>
    <w:rsid w:val="00F240E9"/>
    <w:rsid w:val="00F31A60"/>
    <w:rsid w:val="00F36D8F"/>
    <w:rsid w:val="00F40153"/>
    <w:rsid w:val="00F417B1"/>
    <w:rsid w:val="00F43B4B"/>
    <w:rsid w:val="00F45853"/>
    <w:rsid w:val="00F602DF"/>
    <w:rsid w:val="00F60E70"/>
    <w:rsid w:val="00F61600"/>
    <w:rsid w:val="00F713AA"/>
    <w:rsid w:val="00F754A1"/>
    <w:rsid w:val="00F80704"/>
    <w:rsid w:val="00F81FD9"/>
    <w:rsid w:val="00F841AA"/>
    <w:rsid w:val="00F849DA"/>
    <w:rsid w:val="00F84A94"/>
    <w:rsid w:val="00F87E96"/>
    <w:rsid w:val="00F969B1"/>
    <w:rsid w:val="00FA23E8"/>
    <w:rsid w:val="00FA627E"/>
    <w:rsid w:val="00FC0CCB"/>
    <w:rsid w:val="00FD3CC1"/>
    <w:rsid w:val="00FF1E02"/>
    <w:rsid w:val="00FF30B4"/>
    <w:rsid w:val="00FF7CB4"/>
    <w:rsid w:val="015975B8"/>
    <w:rsid w:val="02143E91"/>
    <w:rsid w:val="047665F4"/>
    <w:rsid w:val="05201E66"/>
    <w:rsid w:val="065F7326"/>
    <w:rsid w:val="066E0107"/>
    <w:rsid w:val="06D34B5C"/>
    <w:rsid w:val="07996F6E"/>
    <w:rsid w:val="0A2032A3"/>
    <w:rsid w:val="0A3733BC"/>
    <w:rsid w:val="0F98263C"/>
    <w:rsid w:val="101860EC"/>
    <w:rsid w:val="10C055FF"/>
    <w:rsid w:val="117619C8"/>
    <w:rsid w:val="118107EC"/>
    <w:rsid w:val="13D50BC4"/>
    <w:rsid w:val="16BB723D"/>
    <w:rsid w:val="18C16528"/>
    <w:rsid w:val="1BE8440E"/>
    <w:rsid w:val="1D155CEE"/>
    <w:rsid w:val="1FF35744"/>
    <w:rsid w:val="207F6CC4"/>
    <w:rsid w:val="23860B96"/>
    <w:rsid w:val="240371BF"/>
    <w:rsid w:val="27832B82"/>
    <w:rsid w:val="29FD04D3"/>
    <w:rsid w:val="2C8A61B5"/>
    <w:rsid w:val="2D680CB5"/>
    <w:rsid w:val="2DF04E50"/>
    <w:rsid w:val="2E497E25"/>
    <w:rsid w:val="2F040D46"/>
    <w:rsid w:val="319F7F4E"/>
    <w:rsid w:val="3304709D"/>
    <w:rsid w:val="33BFC0BD"/>
    <w:rsid w:val="369A1EC7"/>
    <w:rsid w:val="36AA5135"/>
    <w:rsid w:val="376D39B2"/>
    <w:rsid w:val="37E16F03"/>
    <w:rsid w:val="38D469F0"/>
    <w:rsid w:val="3ABE0411"/>
    <w:rsid w:val="3D98207C"/>
    <w:rsid w:val="3E0E69BB"/>
    <w:rsid w:val="3E78745D"/>
    <w:rsid w:val="41414D8E"/>
    <w:rsid w:val="44E268DA"/>
    <w:rsid w:val="484C3812"/>
    <w:rsid w:val="486D0D12"/>
    <w:rsid w:val="4A627F82"/>
    <w:rsid w:val="4B0E749A"/>
    <w:rsid w:val="4B4F25DA"/>
    <w:rsid w:val="4BE068DB"/>
    <w:rsid w:val="4C1B039F"/>
    <w:rsid w:val="4D4F6C18"/>
    <w:rsid w:val="4D577224"/>
    <w:rsid w:val="4E58548F"/>
    <w:rsid w:val="4EAB630A"/>
    <w:rsid w:val="4ECE2238"/>
    <w:rsid w:val="537E6D0A"/>
    <w:rsid w:val="556074CC"/>
    <w:rsid w:val="59414613"/>
    <w:rsid w:val="5AF92295"/>
    <w:rsid w:val="5BBF769B"/>
    <w:rsid w:val="5CD71FC4"/>
    <w:rsid w:val="62E540F8"/>
    <w:rsid w:val="6324615B"/>
    <w:rsid w:val="641C11D6"/>
    <w:rsid w:val="67114552"/>
    <w:rsid w:val="6C4A05C8"/>
    <w:rsid w:val="6D360F25"/>
    <w:rsid w:val="6E7E3605"/>
    <w:rsid w:val="6FF5CC65"/>
    <w:rsid w:val="715C0E4B"/>
    <w:rsid w:val="72734D90"/>
    <w:rsid w:val="73AD73D5"/>
    <w:rsid w:val="73B6EB34"/>
    <w:rsid w:val="744731E5"/>
    <w:rsid w:val="76E3355F"/>
    <w:rsid w:val="778769C8"/>
    <w:rsid w:val="79EE5BA4"/>
    <w:rsid w:val="7A894339"/>
    <w:rsid w:val="7BB732AE"/>
    <w:rsid w:val="7EEF11D3"/>
    <w:rsid w:val="7F3B8996"/>
    <w:rsid w:val="7F991B42"/>
    <w:rsid w:val="7FA30C79"/>
    <w:rsid w:val="7FB7269E"/>
    <w:rsid w:val="7FC96657"/>
    <w:rsid w:val="D8D6DB89"/>
    <w:rsid w:val="DB6F4CAB"/>
    <w:rsid w:val="DF6F9789"/>
    <w:rsid w:val="FFFE9AE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
    <w:qFormat/>
    <w:uiPriority w:val="99"/>
    <w:pPr>
      <w:spacing w:beforeLines="30"/>
    </w:pPr>
    <w:rPr>
      <w:rFonts w:ascii="仿宋_GB2312" w:eastAsia="仿宋_GB2312"/>
      <w:kern w:val="0"/>
      <w:sz w:val="30"/>
    </w:rPr>
  </w:style>
  <w:style w:type="paragraph" w:styleId="6">
    <w:name w:val="Body Text Indent"/>
    <w:basedOn w:val="1"/>
    <w:qFormat/>
    <w:uiPriority w:val="0"/>
    <w:pPr>
      <w:spacing w:after="120"/>
      <w:ind w:left="200" w:leftChars="200"/>
    </w:pPr>
    <w:rPr>
      <w:rFonts w:ascii="仿宋_GB2312"/>
      <w:szCs w:val="32"/>
    </w:rPr>
  </w:style>
  <w:style w:type="paragraph" w:styleId="7">
    <w:name w:val="toc 3"/>
    <w:basedOn w:val="1"/>
    <w:next w:val="1"/>
    <w:unhideWhenUsed/>
    <w:qFormat/>
    <w:uiPriority w:val="39"/>
    <w:pPr>
      <w:tabs>
        <w:tab w:val="right" w:leader="dot" w:pos="8296"/>
      </w:tabs>
      <w:ind w:left="840" w:leftChars="400"/>
    </w:pPr>
  </w:style>
  <w:style w:type="paragraph" w:styleId="8">
    <w:name w:val="Plain Text"/>
    <w:basedOn w:val="1"/>
    <w:link w:val="51"/>
    <w:qFormat/>
    <w:uiPriority w:val="0"/>
    <w:rPr>
      <w:rFonts w:ascii="宋体" w:hAnsi="Calibri"/>
    </w:r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0"/>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Body Text First Indent 2"/>
    <w:basedOn w:val="6"/>
    <w:unhideWhenUsed/>
    <w:qFormat/>
    <w:uiPriority w:val="99"/>
    <w:pPr>
      <w:ind w:firstLine="420" w:firstLineChars="200"/>
    </w:pPr>
  </w:style>
  <w:style w:type="character" w:styleId="17">
    <w:name w:val="Strong"/>
    <w:basedOn w:val="16"/>
    <w:qFormat/>
    <w:uiPriority w:val="99"/>
    <w:rPr>
      <w:b/>
    </w:rPr>
  </w:style>
  <w:style w:type="character" w:styleId="18">
    <w:name w:val="FollowedHyperlink"/>
    <w:basedOn w:val="16"/>
    <w:semiHidden/>
    <w:unhideWhenUsed/>
    <w:qFormat/>
    <w:uiPriority w:val="99"/>
    <w:rPr>
      <w:color w:val="954F72"/>
      <w:u w:val="single"/>
    </w:rPr>
  </w:style>
  <w:style w:type="character" w:styleId="19">
    <w:name w:val="Hyperlink"/>
    <w:basedOn w:val="16"/>
    <w:unhideWhenUsed/>
    <w:qFormat/>
    <w:uiPriority w:val="99"/>
    <w:rPr>
      <w:color w:val="0000FF" w:themeColor="hyperlink"/>
      <w:u w:val="single"/>
    </w:rPr>
  </w:style>
  <w:style w:type="paragraph" w:customStyle="1" w:styleId="20">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Char"/>
    <w:link w:val="2"/>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6"/>
    <w:link w:val="3"/>
    <w:qFormat/>
    <w:uiPriority w:val="9"/>
    <w:rPr>
      <w:rFonts w:ascii="Times New Roman" w:hAnsi="Times New Roman"/>
      <w:b/>
      <w:bCs/>
      <w:kern w:val="44"/>
      <w:sz w:val="44"/>
      <w:szCs w:val="44"/>
    </w:rPr>
  </w:style>
  <w:style w:type="character" w:customStyle="1" w:styleId="30">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1">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2">
    <w:name w:val="批注框文本 Char"/>
    <w:basedOn w:val="16"/>
    <w:link w:val="9"/>
    <w:semiHidden/>
    <w:qFormat/>
    <w:uiPriority w:val="99"/>
    <w:rPr>
      <w:rFonts w:ascii="Times New Roman" w:hAnsi="Times New Roman"/>
      <w:kern w:val="2"/>
      <w:sz w:val="18"/>
      <w:szCs w:val="18"/>
    </w:rPr>
  </w:style>
  <w:style w:type="character" w:customStyle="1" w:styleId="33">
    <w:name w:val="标题 3 Char"/>
    <w:basedOn w:val="16"/>
    <w:link w:val="5"/>
    <w:qFormat/>
    <w:uiPriority w:val="9"/>
    <w:rPr>
      <w:rFonts w:ascii="Times New Roman" w:hAnsi="Times New Roman"/>
      <w:b/>
      <w:bCs/>
      <w:kern w:val="2"/>
      <w:sz w:val="32"/>
      <w:szCs w:val="32"/>
    </w:rPr>
  </w:style>
  <w:style w:type="paragraph" w:customStyle="1" w:styleId="34">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 w:type="paragraph" w:customStyle="1" w:styleId="36">
    <w:name w:val="TOC 标题3"/>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paragraph" w:customStyle="1" w:styleId="3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39">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kern w:val="0"/>
      <w:sz w:val="18"/>
      <w:szCs w:val="18"/>
    </w:rPr>
  </w:style>
  <w:style w:type="paragraph" w:customStyle="1" w:styleId="40">
    <w:name w:val="xl64"/>
    <w:basedOn w:val="1"/>
    <w:qFormat/>
    <w:uiPriority w:val="0"/>
    <w:pPr>
      <w:widowControl/>
      <w:spacing w:before="100" w:beforeAutospacing="1" w:after="100" w:afterAutospacing="1"/>
      <w:jc w:val="left"/>
    </w:pPr>
    <w:rPr>
      <w:rFonts w:ascii="Courier New" w:hAnsi="Courier New" w:cs="Courier New"/>
      <w:color w:val="000000"/>
      <w:kern w:val="0"/>
      <w:sz w:val="18"/>
      <w:szCs w:val="18"/>
    </w:rPr>
  </w:style>
  <w:style w:type="paragraph" w:customStyle="1" w:styleId="41">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4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i/>
      <w:iCs/>
      <w:color w:val="000000"/>
      <w:kern w:val="0"/>
      <w:sz w:val="16"/>
      <w:szCs w:val="16"/>
    </w:rPr>
  </w:style>
  <w:style w:type="paragraph" w:customStyle="1" w:styleId="45">
    <w:name w:val="xl6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b/>
      <w:bCs/>
      <w:color w:val="000000"/>
      <w:kern w:val="0"/>
      <w:sz w:val="30"/>
      <w:szCs w:val="30"/>
    </w:rPr>
  </w:style>
  <w:style w:type="paragraph" w:customStyle="1" w:styleId="4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kern w:val="0"/>
      <w:sz w:val="18"/>
      <w:szCs w:val="18"/>
    </w:rPr>
  </w:style>
  <w:style w:type="paragraph" w:customStyle="1" w:styleId="4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kern w:val="0"/>
      <w:sz w:val="18"/>
      <w:szCs w:val="18"/>
    </w:rPr>
  </w:style>
  <w:style w:type="paragraph" w:customStyle="1" w:styleId="49">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i/>
      <w:iCs/>
      <w:color w:val="000000"/>
      <w:kern w:val="0"/>
      <w:sz w:val="18"/>
      <w:szCs w:val="18"/>
    </w:rPr>
  </w:style>
  <w:style w:type="paragraph" w:customStyle="1" w:styleId="5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i/>
      <w:iCs/>
      <w:color w:val="000000"/>
      <w:kern w:val="0"/>
      <w:sz w:val="16"/>
      <w:szCs w:val="16"/>
    </w:rPr>
  </w:style>
  <w:style w:type="character" w:customStyle="1" w:styleId="51">
    <w:name w:val="纯文本 Char"/>
    <w:basedOn w:val="16"/>
    <w:link w:val="8"/>
    <w:qFormat/>
    <w:uiPriority w:val="0"/>
    <w:rPr>
      <w:rFonts w:ascii="宋体" w:hAnsi="Calibri" w:eastAsia="宋体" w:cs="Times New Roman"/>
      <w:kern w:val="2"/>
      <w:sz w:val="21"/>
      <w:szCs w:val="24"/>
    </w:rPr>
  </w:style>
  <w:style w:type="paragraph" w:customStyle="1" w:styleId="52">
    <w:name w:val="默认"/>
    <w:qFormat/>
    <w:uiPriority w:val="0"/>
    <w:pPr>
      <w:jc w:val="both"/>
    </w:pPr>
    <w:rPr>
      <w:rFonts w:ascii="Helvetica Neue" w:hAnsi="Helvetica Neue" w:eastAsia="Arial Unicode MS" w:cs="Arial Unicode MS"/>
      <w:kern w:val="2"/>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7.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600" b="1" i="0" u="none" strike="noStrike" kern="1200" baseline="0">
                <a:solidFill>
                  <a:schemeClr val="tx1"/>
                </a:solidFill>
                <a:latin typeface="+mn-lt"/>
                <a:ea typeface="+mn-ea"/>
                <a:cs typeface="+mn-cs"/>
              </a:defRPr>
            </a:pPr>
            <a:r>
              <a:rPr lang="en-US" altLang="zh-CN"/>
              <a:t>2025</a:t>
            </a:r>
            <a:r>
              <a:rPr lang="zh-CN" altLang="en-US"/>
              <a:t>年度收、支总决算</a:t>
            </a:r>
            <a:endParaRPr lang="zh-CN" altLang="en-US"/>
          </a:p>
        </c:rich>
      </c:tx>
      <c:layout/>
      <c:overlay val="false"/>
    </c:title>
    <c:autoTitleDeleted val="false"/>
    <c:plotArea>
      <c:layout/>
      <c:barChart>
        <c:barDir val="col"/>
        <c:grouping val="stacked"/>
        <c:varyColors val="false"/>
        <c:ser>
          <c:idx val="0"/>
          <c:order val="0"/>
          <c:tx>
            <c:strRef>
              <c:f>Sheet1!$B$1</c:f>
              <c:strCache>
                <c:ptCount val="1"/>
                <c:pt idx="0">
                  <c:v>收支总决算</c:v>
                </c:pt>
              </c:strCache>
            </c:strRef>
          </c:tx>
          <c:invertIfNegative val="false"/>
          <c:dLbls>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ctr"/>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false"/>
                <c15:leaderLines/>
              </c:ext>
            </c:extLst>
          </c:dLbls>
          <c:cat>
            <c:strRef>
              <c:f>Sheet1!$A$2:$A$3</c:f>
              <c:strCache>
                <c:ptCount val="2"/>
                <c:pt idx="0">
                  <c:v>2024年</c:v>
                </c:pt>
                <c:pt idx="1">
                  <c:v>2025年</c:v>
                </c:pt>
              </c:strCache>
            </c:strRef>
          </c:cat>
          <c:val>
            <c:numRef>
              <c:f>Sheet1!$B$2:$B$3</c:f>
              <c:numCache>
                <c:formatCode>General</c:formatCode>
                <c:ptCount val="2"/>
                <c:pt idx="0">
                  <c:v>178.18</c:v>
                </c:pt>
                <c:pt idx="1">
                  <c:v>166.43</c:v>
                </c:pt>
              </c:numCache>
            </c:numRef>
          </c:val>
        </c:ser>
        <c:dLbls>
          <c:showLegendKey val="false"/>
          <c:showVal val="true"/>
          <c:showCatName val="false"/>
          <c:showSerName val="false"/>
          <c:showPercent val="false"/>
          <c:showBubbleSize val="false"/>
        </c:dLbls>
        <c:gapWidth val="150"/>
        <c:overlap val="100"/>
        <c:axId val="119212288"/>
        <c:axId val="119222272"/>
      </c:barChart>
      <c:catAx>
        <c:axId val="119212288"/>
        <c:scaling>
          <c:orientation val="minMax"/>
        </c:scaling>
        <c:delete val="false"/>
        <c:axPos val="b"/>
        <c:numFmt formatCode="General" sourceLinked="fals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19222272"/>
        <c:crosses val="autoZero"/>
        <c:auto val="true"/>
        <c:lblAlgn val="ctr"/>
        <c:lblOffset val="100"/>
        <c:noMultiLvlLbl val="false"/>
      </c:catAx>
      <c:valAx>
        <c:axId val="119222272"/>
        <c:scaling>
          <c:orientation val="minMax"/>
        </c:scaling>
        <c:delete val="false"/>
        <c:axPos val="l"/>
        <c:majorGridlines/>
        <c:numFmt formatCode="General" sourceLinked="tru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19212288"/>
        <c:crosses val="autoZero"/>
        <c:crossBetween val="between"/>
        <c:majorUnit val="500"/>
      </c:valAx>
    </c:plotArea>
    <c:plotVisOnly val="true"/>
    <c:dispBlanksAs val="gap"/>
    <c:showDLblsOverMax val="false"/>
  </c:chart>
  <c:txPr>
    <a:bodyPr/>
    <a:lstStyle/>
    <a:p>
      <a:pPr>
        <a:defRPr lang="zh-CN"/>
      </a:pPr>
    </a:p>
  </c:txPr>
  <c:externalData r:id="rId1">
    <c:autoUpdate val="false"/>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800" b="1" i="0" u="none" strike="noStrike" kern="1200" baseline="0">
                <a:solidFill>
                  <a:schemeClr val="tx1"/>
                </a:solidFill>
                <a:latin typeface="+mn-lt"/>
                <a:ea typeface="+mn-ea"/>
                <a:cs typeface="+mn-cs"/>
              </a:defRPr>
            </a:pPr>
            <a:r>
              <a:rPr lang="en-US" altLang="zh-CN"/>
              <a:t>2025</a:t>
            </a:r>
            <a:r>
              <a:rPr lang="zh-CN" altLang="en-US"/>
              <a:t>年度收入决算数</a:t>
            </a:r>
            <a:endParaRPr lang="zh-CN" altLang="en-US"/>
          </a:p>
        </c:rich>
      </c:tx>
      <c:layout/>
      <c:overlay val="false"/>
    </c:title>
    <c:autoTitleDeleted val="false"/>
    <c:plotArea>
      <c:layout/>
      <c:pieChart>
        <c:varyColors val="true"/>
        <c:ser>
          <c:idx val="0"/>
          <c:order val="0"/>
          <c:tx>
            <c:strRef>
              <c:f>Sheet1!$B$1</c:f>
              <c:strCache>
                <c:ptCount val="1"/>
                <c:pt idx="0">
                  <c:v>销售额</c:v>
                </c:pt>
              </c:strCache>
            </c:strRef>
          </c:tx>
          <c:explosion val="25"/>
          <c:dPt>
            <c:idx val="0"/>
            <c:bubble3D val="false"/>
          </c:dPt>
          <c:dPt>
            <c:idx val="1"/>
            <c:bubble3D val="false"/>
          </c:dPt>
          <c:dLbls>
            <c:dLbl>
              <c:idx val="0"/>
              <c:layout>
                <c:manualLayout>
                  <c:x val="0.155025536095804"/>
                  <c:y val="-0.102478798190427"/>
                </c:manualLayout>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165.43</a:t>
                    </a:r>
                    <a:r>
                      <a:rPr lang="zh-CN" altLang="en-US"/>
                      <a:t>，</a:t>
                    </a:r>
                    <a:r>
                      <a:rPr lang="en-US" altLang="zh-CN"/>
                      <a:t>99.4%</a:t>
                    </a:r>
                    <a:endParaRPr lang="zh-CN" altLang="en-US"/>
                  </a:p>
                </c:rich>
              </c:tx>
              <c:dLblPos val="bestFit"/>
              <c:showLegendKey val="false"/>
              <c:showVal val="true"/>
              <c:showCatName val="false"/>
              <c:showSerName val="false"/>
              <c:showPercent val="true"/>
              <c:showBubbleSize val="false"/>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altLang="en-US"/>
                      <a:t>1, </a:t>
                    </a:r>
                    <a:endParaRPr lang="en-US" altLang="en-US"/>
                  </a:p>
                  <a:p>
                    <a:pPr>
                      <a:defRPr lang="zh-CN" sz="1000" b="0" i="0" u="none" strike="noStrike" kern="1200" baseline="0">
                        <a:solidFill>
                          <a:schemeClr val="tx1"/>
                        </a:solidFill>
                        <a:latin typeface="+mn-lt"/>
                        <a:ea typeface="+mn-ea"/>
                        <a:cs typeface="+mn-cs"/>
                      </a:defRPr>
                    </a:pPr>
                    <a:r>
                      <a:rPr lang="en-US" altLang="en-US"/>
                      <a:t>0.6</a:t>
                    </a:r>
                    <a:r>
                      <a:rPr altLang="en-US"/>
                      <a:t>%</a:t>
                    </a:r>
                    <a:endParaRPr altLang="en-US"/>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bestFit"/>
            <c:showLegendKey val="false"/>
            <c:showVal val="true"/>
            <c:showCatName val="false"/>
            <c:showSerName val="false"/>
            <c:showPercent val="true"/>
            <c:showBubbleSize val="false"/>
            <c:showLeaderLines val="true"/>
            <c:extLst>
              <c:ext xmlns:c15="http://schemas.microsoft.com/office/drawing/2012/chart" uri="{CE6537A1-D6FC-4f65-9D91-7224C49458BB}">
                <c15:layout/>
                <c15:showLeaderLines val="true"/>
                <c15:leaderLines/>
              </c:ext>
            </c:extLst>
          </c:dLbls>
          <c:cat>
            <c:strRef>
              <c:f>Sheet1!$A$2:$A$3</c:f>
              <c:strCache>
                <c:ptCount val="2"/>
                <c:pt idx="0">
                  <c:v>一般公共预算财政拨款收入</c:v>
                </c:pt>
                <c:pt idx="1">
                  <c:v>政府性基金预算财政拨款收入</c:v>
                </c:pt>
              </c:strCache>
            </c:strRef>
          </c:cat>
          <c:val>
            <c:numRef>
              <c:f>Sheet1!$B$2:$B$3</c:f>
              <c:numCache>
                <c:formatCode>General</c:formatCode>
                <c:ptCount val="2"/>
                <c:pt idx="0">
                  <c:v>165.43</c:v>
                </c:pt>
                <c:pt idx="1">
                  <c:v>1</c:v>
                </c:pt>
              </c:numCache>
            </c:numRef>
          </c:val>
        </c:ser>
        <c:dLbls>
          <c:showLegendKey val="false"/>
          <c:showVal val="true"/>
          <c:showCatName val="false"/>
          <c:showSerName val="false"/>
          <c:showPercent val="false"/>
          <c:showBubbleSize val="false"/>
          <c:showLeaderLines val="true"/>
        </c:dLbls>
        <c:firstSliceAng val="0"/>
      </c:pieChart>
    </c:plotArea>
    <c:legend>
      <c:legendPos val="r"/>
      <c:layout/>
      <c:overlay val="false"/>
      <c:txPr>
        <a:bodyPr rot="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legend>
    <c:plotVisOnly val="true"/>
    <c:dispBlanksAs val="zero"/>
    <c:showDLblsOverMax val="false"/>
  </c:chart>
  <c:txPr>
    <a:bodyPr/>
    <a:lstStyle/>
    <a:p>
      <a:pPr>
        <a:defRPr lang="zh-CN"/>
      </a:pPr>
    </a:p>
  </c:txPr>
  <c:externalData r:id="rId1">
    <c:autoUpdate val="false"/>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600" b="1" i="0" u="none" strike="noStrike" kern="1200" baseline="0">
                <a:solidFill>
                  <a:schemeClr val="tx1"/>
                </a:solidFill>
                <a:latin typeface="+mn-lt"/>
                <a:ea typeface="+mn-ea"/>
                <a:cs typeface="+mn-cs"/>
              </a:defRPr>
            </a:pPr>
            <a:r>
              <a:rPr lang="en-US" altLang="zh-CN"/>
              <a:t>2025</a:t>
            </a:r>
            <a:r>
              <a:rPr lang="zh-CN" altLang="en-US"/>
              <a:t>年度支出决算数</a:t>
            </a:r>
            <a:endParaRPr lang="zh-CN" altLang="en-US"/>
          </a:p>
        </c:rich>
      </c:tx>
      <c:layout/>
      <c:overlay val="false"/>
    </c:title>
    <c:autoTitleDeleted val="false"/>
    <c:plotArea>
      <c:layout/>
      <c:pieChart>
        <c:varyColors val="true"/>
        <c:ser>
          <c:idx val="0"/>
          <c:order val="0"/>
          <c:tx>
            <c:strRef>
              <c:f>Sheet1!$B$1</c:f>
              <c:strCache>
                <c:ptCount val="1"/>
                <c:pt idx="0">
                  <c:v>支出分类</c:v>
                </c:pt>
              </c:strCache>
            </c:strRef>
          </c:tx>
          <c:explosion val="25"/>
          <c:dPt>
            <c:idx val="0"/>
            <c:bubble3D val="false"/>
          </c:dPt>
          <c:dPt>
            <c:idx val="1"/>
            <c:bubble3D val="false"/>
          </c:dPt>
          <c:dLbls>
            <c:dLbl>
              <c:idx val="0"/>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146.69</a:t>
                    </a:r>
                    <a:r>
                      <a:rPr lang="en-US" altLang="zh-CN" baseline="0"/>
                      <a:t>,</a:t>
                    </a:r>
                    <a:endParaRPr lang="en-US" altLang="zh-CN" baseline="0"/>
                  </a:p>
                  <a:p>
                    <a:pPr>
                      <a:defRPr lang="zh-CN" sz="1000" b="0" i="0" u="none" strike="noStrike" kern="1200" baseline="0">
                        <a:solidFill>
                          <a:schemeClr val="tx1"/>
                        </a:solidFill>
                        <a:latin typeface="+mn-lt"/>
                        <a:ea typeface="+mn-ea"/>
                        <a:cs typeface="+mn-cs"/>
                      </a:defRPr>
                    </a:pPr>
                    <a:r>
                      <a:rPr lang="en-US" altLang="zh-CN" baseline="0"/>
                      <a:t> 69.27%</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19.74</a:t>
                    </a:r>
                    <a:r>
                      <a:rPr lang="en-US" altLang="zh-CN" baseline="0"/>
                      <a:t>, </a:t>
                    </a:r>
                    <a:endParaRPr lang="en-US" altLang="zh-CN" baseline="0"/>
                  </a:p>
                  <a:p>
                    <a:pPr>
                      <a:defRPr lang="zh-CN" sz="1000" b="0" i="0" u="none" strike="noStrike" kern="1200" baseline="0">
                        <a:solidFill>
                          <a:schemeClr val="tx1"/>
                        </a:solidFill>
                        <a:latin typeface="+mn-lt"/>
                        <a:ea typeface="+mn-ea"/>
                        <a:cs typeface="+mn-cs"/>
                      </a:defRPr>
                    </a:pPr>
                    <a:r>
                      <a:rPr lang="en-US" altLang="zh-CN" baseline="0"/>
                      <a:t>30.73%</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15:layout>
                    <c:manualLayout>
                      <c:w val="0.134392180818571"/>
                      <c:h val="0.172947131608549"/>
                    </c:manualLayout>
                  </c15:layout>
                </c:ext>
              </c:extLst>
            </c:dLbl>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bestFit"/>
            <c:showLegendKey val="false"/>
            <c:showVal val="true"/>
            <c:showCatName val="false"/>
            <c:showSerName val="false"/>
            <c:showPercent val="true"/>
            <c:showBubbleSize val="false"/>
            <c:showLeaderLines val="true"/>
            <c:extLst>
              <c:ext xmlns:c15="http://schemas.microsoft.com/office/drawing/2012/chart" uri="{CE6537A1-D6FC-4f65-9D91-7224C49458BB}">
                <c15:layout/>
                <c15:showLeaderLines val="true"/>
                <c15:leaderLines/>
              </c:ext>
            </c:extLst>
          </c:dLbls>
          <c:cat>
            <c:strRef>
              <c:f>Sheet1!$A$2:$A$3</c:f>
              <c:strCache>
                <c:ptCount val="2"/>
                <c:pt idx="0">
                  <c:v>基本支出</c:v>
                </c:pt>
                <c:pt idx="1">
                  <c:v>项目支出</c:v>
                </c:pt>
              </c:strCache>
            </c:strRef>
          </c:cat>
          <c:val>
            <c:numRef>
              <c:f>Sheet1!$B$2:$B$3</c:f>
              <c:numCache>
                <c:formatCode>General</c:formatCode>
                <c:ptCount val="2"/>
                <c:pt idx="0">
                  <c:v>146.69</c:v>
                </c:pt>
                <c:pt idx="1">
                  <c:v>19.74</c:v>
                </c:pt>
              </c:numCache>
            </c:numRef>
          </c:val>
        </c:ser>
        <c:dLbls>
          <c:showLegendKey val="false"/>
          <c:showVal val="true"/>
          <c:showCatName val="false"/>
          <c:showSerName val="false"/>
          <c:showPercent val="false"/>
          <c:showBubbleSize val="false"/>
          <c:showLeaderLines val="true"/>
        </c:dLbls>
        <c:firstSliceAng val="0"/>
      </c:pieChart>
    </c:plotArea>
    <c:legend>
      <c:legendPos val="r"/>
      <c:layout/>
      <c:overlay val="false"/>
      <c:txPr>
        <a:bodyPr rot="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legend>
    <c:plotVisOnly val="true"/>
    <c:dispBlanksAs val="zero"/>
    <c:showDLblsOverMax val="false"/>
  </c:chart>
  <c:txPr>
    <a:bodyPr/>
    <a:lstStyle/>
    <a:p>
      <a:pPr>
        <a:defRPr lang="zh-CN"/>
      </a:pPr>
    </a:p>
  </c:txPr>
  <c:externalData r:id="rId1">
    <c:autoUpdate val="false"/>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600" b="1" i="0" u="none" strike="noStrike" kern="1200" baseline="0">
                <a:solidFill>
                  <a:schemeClr val="tx1"/>
                </a:solidFill>
                <a:latin typeface="+mn-lt"/>
                <a:ea typeface="+mn-ea"/>
                <a:cs typeface="+mn-cs"/>
              </a:defRPr>
            </a:pPr>
            <a:r>
              <a:rPr lang="zh-CN" altLang="en-US"/>
              <a:t>财政拨款收入、支出总体情况</a:t>
            </a:r>
            <a:endParaRPr lang="zh-CN" altLang="en-US"/>
          </a:p>
        </c:rich>
      </c:tx>
      <c:layout>
        <c:manualLayout>
          <c:xMode val="edge"/>
          <c:yMode val="edge"/>
          <c:x val="0.154526627509046"/>
          <c:y val="0.0448574174943928"/>
        </c:manualLayout>
      </c:layout>
      <c:overlay val="false"/>
    </c:title>
    <c:autoTitleDeleted val="false"/>
    <c:plotArea>
      <c:layout/>
      <c:barChart>
        <c:barDir val="col"/>
        <c:grouping val="stacked"/>
        <c:varyColors val="false"/>
        <c:ser>
          <c:idx val="0"/>
          <c:order val="0"/>
          <c:tx>
            <c:strRef>
              <c:f>Sheet1!$B$1</c:f>
              <c:strCache>
                <c:ptCount val="1"/>
                <c:pt idx="0">
                  <c:v>收支总决算</c:v>
                </c:pt>
              </c:strCache>
            </c:strRef>
          </c:tx>
          <c:invertIfNegative val="false"/>
          <c:dLbls>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ctr"/>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false"/>
                <c15:leaderLines/>
              </c:ext>
            </c:extLst>
          </c:dLbls>
          <c:cat>
            <c:strRef>
              <c:f>Sheet1!$A$2:$A$3</c:f>
              <c:strCache>
                <c:ptCount val="2"/>
                <c:pt idx="0">
                  <c:v>2024年</c:v>
                </c:pt>
                <c:pt idx="1">
                  <c:v>2025年</c:v>
                </c:pt>
              </c:strCache>
            </c:strRef>
          </c:cat>
          <c:val>
            <c:numRef>
              <c:f>Sheet1!$B$2:$B$3</c:f>
              <c:numCache>
                <c:formatCode>General</c:formatCode>
                <c:ptCount val="2"/>
                <c:pt idx="0">
                  <c:v>178.18</c:v>
                </c:pt>
                <c:pt idx="1">
                  <c:v>166.43</c:v>
                </c:pt>
              </c:numCache>
            </c:numRef>
          </c:val>
        </c:ser>
        <c:dLbls>
          <c:showLegendKey val="false"/>
          <c:showVal val="true"/>
          <c:showCatName val="false"/>
          <c:showSerName val="false"/>
          <c:showPercent val="false"/>
          <c:showBubbleSize val="false"/>
        </c:dLbls>
        <c:gapWidth val="150"/>
        <c:overlap val="100"/>
        <c:axId val="123061760"/>
        <c:axId val="123063296"/>
      </c:barChart>
      <c:catAx>
        <c:axId val="123061760"/>
        <c:scaling>
          <c:orientation val="minMax"/>
        </c:scaling>
        <c:delete val="false"/>
        <c:axPos val="b"/>
        <c:numFmt formatCode="General" sourceLinked="fals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23063296"/>
        <c:crosses val="autoZero"/>
        <c:auto val="true"/>
        <c:lblAlgn val="ctr"/>
        <c:lblOffset val="100"/>
        <c:noMultiLvlLbl val="false"/>
      </c:catAx>
      <c:valAx>
        <c:axId val="123063296"/>
        <c:scaling>
          <c:orientation val="minMax"/>
        </c:scaling>
        <c:delete val="false"/>
        <c:axPos val="l"/>
        <c:majorGridlines/>
        <c:numFmt formatCode="General" sourceLinked="tru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23061760"/>
        <c:crosses val="autoZero"/>
        <c:crossBetween val="between"/>
        <c:majorUnit val="500"/>
      </c:valAx>
    </c:plotArea>
    <c:plotVisOnly val="true"/>
    <c:dispBlanksAs val="gap"/>
    <c:showDLblsOverMax val="false"/>
  </c:chart>
  <c:txPr>
    <a:bodyPr/>
    <a:lstStyle/>
    <a:p>
      <a:pPr>
        <a:defRPr lang="zh-CN"/>
      </a:pPr>
    </a:p>
  </c:txPr>
  <c:externalData r:id="rId1">
    <c:autoUpdate val="false"/>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800" b="1" i="0" u="none" strike="noStrike" kern="1200" baseline="0">
                <a:solidFill>
                  <a:schemeClr val="tx1"/>
                </a:solidFill>
                <a:latin typeface="+mn-lt"/>
                <a:ea typeface="+mn-ea"/>
                <a:cs typeface="+mn-cs"/>
              </a:defRPr>
            </a:pPr>
            <a:r>
              <a:rPr lang="zh-CN" altLang="en-US" sz="1400"/>
              <a:t>一般公共预算财政拨款支出决算变动情况</a:t>
            </a:r>
            <a:endParaRPr lang="zh-CN" altLang="en-US" sz="1400"/>
          </a:p>
        </c:rich>
      </c:tx>
      <c:layout/>
      <c:overlay val="false"/>
    </c:title>
    <c:autoTitleDeleted val="false"/>
    <c:plotArea>
      <c:layout/>
      <c:barChart>
        <c:barDir val="col"/>
        <c:grouping val="stacked"/>
        <c:varyColors val="false"/>
        <c:ser>
          <c:idx val="0"/>
          <c:order val="0"/>
          <c:tx>
            <c:strRef>
              <c:f>Sheet1!$B$1</c:f>
              <c:strCache>
                <c:ptCount val="1"/>
                <c:pt idx="0">
                  <c:v>一般公共预算财政拨款支出决算变动情况</c:v>
                </c:pt>
              </c:strCache>
            </c:strRef>
          </c:tx>
          <c:invertIfNegative val="false"/>
          <c:dLbls>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ctr"/>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false"/>
                <c15:leaderLines/>
              </c:ext>
            </c:extLst>
          </c:dLbls>
          <c:cat>
            <c:strRef>
              <c:f>Sheet1!$A$2:$A$5</c:f>
              <c:strCache>
                <c:ptCount val="2"/>
                <c:pt idx="0">
                  <c:v>2024年</c:v>
                </c:pt>
                <c:pt idx="1">
                  <c:v>2025年</c:v>
                </c:pt>
              </c:strCache>
            </c:strRef>
          </c:cat>
          <c:val>
            <c:numRef>
              <c:f>Sheet1!$B$2:$B$5</c:f>
              <c:numCache>
                <c:formatCode>General</c:formatCode>
                <c:ptCount val="4"/>
                <c:pt idx="0">
                  <c:v>171.41</c:v>
                </c:pt>
                <c:pt idx="1">
                  <c:v>165.43</c:v>
                </c:pt>
              </c:numCache>
            </c:numRef>
          </c:val>
        </c:ser>
        <c:dLbls>
          <c:showLegendKey val="false"/>
          <c:showVal val="true"/>
          <c:showCatName val="false"/>
          <c:showSerName val="false"/>
          <c:showPercent val="false"/>
          <c:showBubbleSize val="false"/>
        </c:dLbls>
        <c:gapWidth val="150"/>
        <c:overlap val="100"/>
        <c:axId val="123099776"/>
        <c:axId val="123101568"/>
      </c:barChart>
      <c:catAx>
        <c:axId val="123099776"/>
        <c:scaling>
          <c:orientation val="minMax"/>
        </c:scaling>
        <c:delete val="false"/>
        <c:axPos val="b"/>
        <c:numFmt formatCode="General" sourceLinked="fals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23101568"/>
        <c:crosses val="autoZero"/>
        <c:auto val="true"/>
        <c:lblAlgn val="ctr"/>
        <c:lblOffset val="100"/>
        <c:noMultiLvlLbl val="false"/>
      </c:catAx>
      <c:valAx>
        <c:axId val="123101568"/>
        <c:scaling>
          <c:orientation val="minMax"/>
        </c:scaling>
        <c:delete val="false"/>
        <c:axPos val="l"/>
        <c:majorGridlines/>
        <c:numFmt formatCode="General" sourceLinked="true"/>
        <c:majorTickMark val="out"/>
        <c:minorTickMark val="none"/>
        <c:tickLblPos val="nextTo"/>
        <c:txPr>
          <a:bodyPr rot="-6000000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crossAx val="123099776"/>
        <c:crosses val="autoZero"/>
        <c:crossBetween val="between"/>
      </c:valAx>
    </c:plotArea>
    <c:plotVisOnly val="true"/>
    <c:dispBlanksAs val="gap"/>
    <c:showDLblsOverMax val="false"/>
  </c:chart>
  <c:txPr>
    <a:bodyPr/>
    <a:lstStyle/>
    <a:p>
      <a:pPr>
        <a:defRPr lang="zh-CN"/>
      </a:pPr>
    </a:p>
  </c:txPr>
  <c:externalData r:id="rId1">
    <c:autoUpdate val="false"/>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800" b="1" i="0" u="none" strike="noStrike" kern="1200" baseline="0">
                <a:solidFill>
                  <a:schemeClr val="tx1"/>
                </a:solidFill>
                <a:latin typeface="+mn-lt"/>
                <a:ea typeface="+mn-ea"/>
                <a:cs typeface="+mn-cs"/>
              </a:defRPr>
            </a:pPr>
            <a:r>
              <a:rPr lang="zh-CN" altLang="en-US" sz="1200"/>
              <a:t>一般公共预算财政拨款支出</a:t>
            </a:r>
            <a:endParaRPr lang="zh-CN" altLang="en-US" sz="1200"/>
          </a:p>
        </c:rich>
      </c:tx>
      <c:layout/>
      <c:overlay val="false"/>
    </c:title>
    <c:autoTitleDeleted val="false"/>
    <c:plotArea>
      <c:layout/>
      <c:pieChart>
        <c:varyColors val="true"/>
        <c:ser>
          <c:idx val="0"/>
          <c:order val="0"/>
          <c:tx>
            <c:strRef>
              <c:f>Sheet1!$B$1</c:f>
              <c:strCache>
                <c:ptCount val="1"/>
                <c:pt idx="0">
                  <c:v>一般公共预算财政拨款支出</c:v>
                </c:pt>
              </c:strCache>
            </c:strRef>
          </c:tx>
          <c:explosion val="25"/>
          <c:dPt>
            <c:idx val="0"/>
            <c:bubble3D val="false"/>
          </c:dPt>
          <c:dPt>
            <c:idx val="1"/>
            <c:bubble3D val="false"/>
          </c:dPt>
          <c:dPt>
            <c:idx val="2"/>
            <c:bubble3D val="false"/>
          </c:dPt>
          <c:dPt>
            <c:idx val="3"/>
            <c:bubble3D val="false"/>
          </c:dPt>
          <c:dLbls>
            <c:dLbl>
              <c:idx val="0"/>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21.29</a:t>
                    </a:r>
                    <a:r>
                      <a:rPr lang="en-US" altLang="zh-CN" baseline="0"/>
                      <a:t>, </a:t>
                    </a:r>
                    <a:endParaRPr lang="en-US" altLang="zh-CN" baseline="0"/>
                  </a:p>
                  <a:p>
                    <a:pPr>
                      <a:defRPr lang="zh-CN" sz="1000" b="0" i="0" u="none" strike="noStrike" kern="1200" baseline="0">
                        <a:solidFill>
                          <a:schemeClr val="tx1"/>
                        </a:solidFill>
                        <a:latin typeface="+mn-lt"/>
                        <a:ea typeface="+mn-ea"/>
                        <a:cs typeface="+mn-cs"/>
                      </a:defRPr>
                    </a:pPr>
                    <a:r>
                      <a:rPr lang="en-US" altLang="zh-CN" baseline="0"/>
                      <a:t>12.87%</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7.48</a:t>
                    </a:r>
                    <a:endParaRPr lang="en-US" altLang="zh-CN" baseline="0"/>
                  </a:p>
                  <a:p>
                    <a:pPr>
                      <a:defRPr lang="zh-CN" sz="1000" b="0" i="0" u="none" strike="noStrike" kern="1200" baseline="0">
                        <a:solidFill>
                          <a:schemeClr val="tx1"/>
                        </a:solidFill>
                        <a:latin typeface="+mn-lt"/>
                        <a:ea typeface="+mn-ea"/>
                        <a:cs typeface="+mn-cs"/>
                      </a:defRPr>
                    </a:pPr>
                    <a:r>
                      <a:rPr lang="en-US" altLang="zh-CN" baseline="0"/>
                      <a:t>4.52%</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127.02</a:t>
                    </a:r>
                    <a:r>
                      <a:rPr lang="en-US" altLang="zh-CN" baseline="0"/>
                      <a:t>, </a:t>
                    </a:r>
                    <a:endParaRPr lang="en-US" altLang="zh-CN" baseline="0"/>
                  </a:p>
                  <a:p>
                    <a:pPr>
                      <a:defRPr lang="zh-CN" sz="1000" b="0" i="0" u="none" strike="noStrike" kern="1200" baseline="0">
                        <a:solidFill>
                          <a:schemeClr val="tx1"/>
                        </a:solidFill>
                        <a:latin typeface="+mn-lt"/>
                        <a:ea typeface="+mn-ea"/>
                        <a:cs typeface="+mn-cs"/>
                      </a:defRPr>
                    </a:pPr>
                    <a:r>
                      <a:rPr lang="en-US" altLang="zh-CN" baseline="0"/>
                      <a:t>76.78%</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9.64</a:t>
                    </a:r>
                    <a:r>
                      <a:rPr lang="en-US" altLang="zh-CN" baseline="0"/>
                      <a:t>,</a:t>
                    </a:r>
                    <a:endParaRPr lang="en-US" altLang="zh-CN" baseline="0"/>
                  </a:p>
                  <a:p>
                    <a:pPr>
                      <a:defRPr lang="zh-CN" sz="1000" b="0" i="0" u="none" strike="noStrike" kern="1200" baseline="0">
                        <a:solidFill>
                          <a:schemeClr val="tx1"/>
                        </a:solidFill>
                        <a:latin typeface="+mn-lt"/>
                        <a:ea typeface="+mn-ea"/>
                        <a:cs typeface="+mn-cs"/>
                      </a:defRPr>
                    </a:pPr>
                    <a:r>
                      <a:rPr lang="en-US" altLang="zh-CN" baseline="0"/>
                      <a:t>5.83%</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bestFit"/>
            <c:showLegendKey val="false"/>
            <c:showVal val="true"/>
            <c:showCatName val="false"/>
            <c:showSerName val="false"/>
            <c:showPercent val="true"/>
            <c:showBubbleSize val="false"/>
            <c:showLeaderLines val="true"/>
            <c:extLst>
              <c:ext xmlns:c15="http://schemas.microsoft.com/office/drawing/2012/chart" uri="{CE6537A1-D6FC-4f65-9D91-7224C49458BB}">
                <c15:layout/>
                <c15:showLeaderLines val="true"/>
                <c15:leaderLines/>
              </c:ext>
            </c:extLst>
          </c:dLbls>
          <c:cat>
            <c:strRef>
              <c:f>Sheet1!$A$2:$A$5</c:f>
              <c:strCache>
                <c:ptCount val="4"/>
                <c:pt idx="0">
                  <c:v>社会保障和就业支出</c:v>
                </c:pt>
                <c:pt idx="1">
                  <c:v>卫生健康支出</c:v>
                </c:pt>
                <c:pt idx="2">
                  <c:v>农林水支出</c:v>
                </c:pt>
                <c:pt idx="3">
                  <c:v>住房保障支出</c:v>
                </c:pt>
              </c:strCache>
            </c:strRef>
          </c:cat>
          <c:val>
            <c:numRef>
              <c:f>Sheet1!$B$2:$B$5</c:f>
              <c:numCache>
                <c:formatCode>General</c:formatCode>
                <c:ptCount val="4"/>
                <c:pt idx="0">
                  <c:v>21.29</c:v>
                </c:pt>
                <c:pt idx="1">
                  <c:v>7.48</c:v>
                </c:pt>
                <c:pt idx="2">
                  <c:v>127.02</c:v>
                </c:pt>
                <c:pt idx="3">
                  <c:v>9.64</c:v>
                </c:pt>
              </c:numCache>
            </c:numRef>
          </c:val>
        </c:ser>
        <c:dLbls>
          <c:showLegendKey val="false"/>
          <c:showVal val="true"/>
          <c:showCatName val="false"/>
          <c:showSerName val="false"/>
          <c:showPercent val="false"/>
          <c:showBubbleSize val="false"/>
          <c:showLeaderLines val="true"/>
        </c:dLbls>
        <c:firstSliceAng val="0"/>
      </c:pieChart>
    </c:plotArea>
    <c:legend>
      <c:legendPos val="r"/>
      <c:layout/>
      <c:overlay val="false"/>
      <c:txPr>
        <a:bodyPr rot="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legend>
    <c:plotVisOnly val="true"/>
    <c:dispBlanksAs val="zero"/>
    <c:showDLblsOverMax val="false"/>
  </c:chart>
  <c:txPr>
    <a:bodyPr/>
    <a:lstStyle/>
    <a:p>
      <a:pPr>
        <a:defRPr lang="zh-CN"/>
      </a:pPr>
    </a:p>
  </c:txPr>
  <c:externalData r:id="rId1">
    <c:autoUpdate val="false"/>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a:defRPr lang="zh-CN" sz="1800" b="1" i="0" u="none" strike="noStrike" kern="1200" baseline="0">
                <a:solidFill>
                  <a:schemeClr val="tx1"/>
                </a:solidFill>
                <a:latin typeface="+mn-lt"/>
                <a:ea typeface="+mn-ea"/>
                <a:cs typeface="+mn-cs"/>
              </a:defRPr>
            </a:pPr>
            <a:r>
              <a:rPr lang="zh-CN" altLang="en-US" sz="1600"/>
              <a:t>“三公”经费财政拨款支出</a:t>
            </a:r>
            <a:endParaRPr lang="zh-CN" altLang="en-US" sz="1600"/>
          </a:p>
        </c:rich>
      </c:tx>
      <c:layout/>
      <c:overlay val="false"/>
    </c:title>
    <c:autoTitleDeleted val="false"/>
    <c:plotArea>
      <c:layout/>
      <c:pieChart>
        <c:varyColors val="true"/>
        <c:ser>
          <c:idx val="0"/>
          <c:order val="0"/>
          <c:tx>
            <c:strRef>
              <c:f>Sheet1!$B$1</c:f>
              <c:strCache>
                <c:ptCount val="1"/>
                <c:pt idx="0">
                  <c:v>“三公”经费财政拨款支出</c:v>
                </c:pt>
              </c:strCache>
            </c:strRef>
          </c:tx>
          <c:explosion val="0"/>
          <c:dPt>
            <c:idx val="0"/>
            <c:bubble3D val="false"/>
          </c:dPt>
          <c:dPt>
            <c:idx val="1"/>
            <c:bubble3D val="false"/>
          </c:dPt>
          <c:dLbls>
            <c:dLbl>
              <c:idx val="0"/>
              <c:layout>
                <c:manualLayout>
                  <c:x val="-0.0886070297913794"/>
                  <c:y val="0.149865023556547"/>
                </c:manualLayout>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0.15</a:t>
                    </a:r>
                    <a:r>
                      <a:rPr lang="en-US" altLang="zh-CN" baseline="0"/>
                      <a:t>, </a:t>
                    </a:r>
                    <a:endParaRPr lang="en-US" altLang="zh-CN" baseline="0"/>
                  </a:p>
                  <a:p>
                    <a:pPr>
                      <a:defRPr lang="zh-CN" sz="1000" b="0" i="0" u="none" strike="noStrike" kern="1200" baseline="0">
                        <a:solidFill>
                          <a:schemeClr val="tx1"/>
                        </a:solidFill>
                        <a:latin typeface="+mn-lt"/>
                        <a:ea typeface="+mn-ea"/>
                        <a:cs typeface="+mn-cs"/>
                      </a:defRPr>
                    </a:pPr>
                    <a:r>
                      <a:rPr lang="en-US" altLang="zh-CN" baseline="0"/>
                      <a:t>8.33%</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r>
                      <a:rPr lang="en-US" altLang="zh-CN"/>
                      <a:t>1.65</a:t>
                    </a:r>
                    <a:r>
                      <a:rPr lang="en-US" altLang="zh-CN" baseline="0"/>
                      <a:t>, </a:t>
                    </a:r>
                    <a:endParaRPr lang="en-US" altLang="zh-CN" baseline="0"/>
                  </a:p>
                  <a:p>
                    <a:pPr>
                      <a:defRPr lang="zh-CN" sz="1000" b="0" i="0" u="none" strike="noStrike" kern="1200" baseline="0">
                        <a:solidFill>
                          <a:schemeClr val="tx1"/>
                        </a:solidFill>
                        <a:latin typeface="+mn-lt"/>
                        <a:ea typeface="+mn-ea"/>
                        <a:cs typeface="+mn-cs"/>
                      </a:defRPr>
                    </a:pPr>
                    <a:r>
                      <a:rPr lang="en-US" altLang="zh-CN" baseline="0"/>
                      <a:t>91.67%</a:t>
                    </a:r>
                    <a:endParaRPr lang="en-US" altLang="zh-CN" baseline="0"/>
                  </a:p>
                </c:rich>
              </c:tx>
              <c:dLblPos val="bestFit"/>
              <c:showLegendKey val="false"/>
              <c:showVal val="true"/>
              <c:showCatName val="false"/>
              <c:showSerName val="false"/>
              <c:showPercent val="true"/>
              <c:showBubbleSize val="false"/>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chemeClr val="tx1"/>
                    </a:solidFill>
                    <a:latin typeface="+mn-lt"/>
                    <a:ea typeface="+mn-ea"/>
                    <a:cs typeface="+mn-cs"/>
                  </a:defRPr>
                </a:pPr>
              </a:p>
            </c:txPr>
            <c:dLblPos val="bestFit"/>
            <c:showLegendKey val="false"/>
            <c:showVal val="true"/>
            <c:showCatName val="false"/>
            <c:showSerName val="false"/>
            <c:showPercent val="true"/>
            <c:showBubbleSize val="false"/>
            <c:showLeaderLines val="true"/>
            <c:extLst>
              <c:ext xmlns:c15="http://schemas.microsoft.com/office/drawing/2012/chart" uri="{CE6537A1-D6FC-4f65-9D91-7224C49458BB}">
                <c15:layout/>
                <c15:showLeaderLines val="true"/>
                <c15:leaderLines/>
              </c:ext>
            </c:extLst>
          </c:dLbls>
          <c:cat>
            <c:strRef>
              <c:f>Sheet1!$A$2:$A$3</c:f>
              <c:strCache>
                <c:ptCount val="2"/>
                <c:pt idx="0">
                  <c:v>公务接待费</c:v>
                </c:pt>
                <c:pt idx="1">
                  <c:v>公车运行维护费</c:v>
                </c:pt>
              </c:strCache>
            </c:strRef>
          </c:cat>
          <c:val>
            <c:numRef>
              <c:f>Sheet1!$B$2:$B$3</c:f>
              <c:numCache>
                <c:formatCode>General</c:formatCode>
                <c:ptCount val="2"/>
                <c:pt idx="0">
                  <c:v>0.15</c:v>
                </c:pt>
                <c:pt idx="1">
                  <c:v>1.65</c:v>
                </c:pt>
              </c:numCache>
            </c:numRef>
          </c:val>
        </c:ser>
        <c:dLbls>
          <c:showLegendKey val="false"/>
          <c:showVal val="true"/>
          <c:showCatName val="false"/>
          <c:showSerName val="false"/>
          <c:showPercent val="false"/>
          <c:showBubbleSize val="false"/>
          <c:showLeaderLines val="true"/>
        </c:dLbls>
        <c:firstSliceAng val="0"/>
      </c:pieChart>
    </c:plotArea>
    <c:legend>
      <c:legendPos val="r"/>
      <c:layout/>
      <c:overlay val="false"/>
      <c:txPr>
        <a:bodyPr rot="0" spcFirstLastPara="0" vertOverflow="ellipsis" vert="horz" wrap="square" anchor="ctr" anchorCtr="true"/>
        <a:lstStyle/>
        <a:p>
          <a:pPr>
            <a:defRPr lang="zh-CN" sz="1000" b="0" i="0" u="none" strike="noStrike" kern="1200" baseline="0">
              <a:solidFill>
                <a:schemeClr val="tx1"/>
              </a:solidFill>
              <a:latin typeface="+mn-lt"/>
              <a:ea typeface="+mn-ea"/>
              <a:cs typeface="+mn-cs"/>
            </a:defRPr>
          </a:pPr>
        </a:p>
      </c:txPr>
    </c:legend>
    <c:plotVisOnly val="true"/>
    <c:dispBlanksAs val="zero"/>
    <c:showDLblsOverMax val="false"/>
  </c:chart>
  <c:txPr>
    <a:bodyPr/>
    <a:lstStyle/>
    <a:p>
      <a:pPr>
        <a:defRPr lang="zh-CN"/>
      </a:pPr>
    </a:p>
  </c:txPr>
  <c:externalData r:id="rId1">
    <c:autoUpdate val="false"/>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5" textRotate="1"/>
    <customShpInfo spid="_x0000_s2056" textRotate="1"/>
    <customShpInfo spid="_x0000_s2053" textRotate="1"/>
    <customShpInfo spid="_x0000_s2054" textRotate="1"/>
    <customShpInfo spid="_x0000_s2059" textRotate="1"/>
    <customShpInfo spid="_x0000_s2060" textRotate="1"/>
    <customShpInfo spid="_x0000_s206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17</Pages>
  <Words>4294</Words>
  <Characters>4783</Characters>
  <Lines>18</Lines>
  <Paragraphs>13</Paragraphs>
  <TotalTime>1</TotalTime>
  <ScaleCrop>false</ScaleCrop>
  <LinksUpToDate>false</LinksUpToDate>
  <CharactersWithSpaces>4885</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2025-09-04T11:41:00Z</dcterms:created>
  <dc:creator>曹颖</dc:creator>
  <cp:lastModifiedBy>user</cp:lastModifiedBy>
  <cp:lastPrinted>2025-09-12T12:38:00Z</cp:lastPrinted>
  <dcterms:modified xsi:type="dcterms:W3CDTF">2026-09-09T11:47:15Z</dcterms:modified>
  <dc:title>四川省***</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50BA3B7136414D82997DA2A01FCB10D9_12</vt:lpwstr>
  </property>
  <property fmtid="{D5CDD505-2E9C-101B-9397-08002B2CF9AE}" pid="4" name="KSOTemplateDocerSaveRecord">
    <vt:lpwstr>eyJoZGlkIjoiNmQxNTQzZTFjOTVmOTcxM2I0OGZiODIzY2I4ZDU2MzkiLCJ1c2VySWQiOiIxMDU0NjA4NzAyIn0=</vt:lpwstr>
  </property>
</Properties>
</file>