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CA12B">
      <w:pPr>
        <w:adjustRightInd w:val="0"/>
        <w:snapToGrid w:val="0"/>
        <w:spacing w:line="400" w:lineRule="exact"/>
        <w:rPr>
          <w:rFonts w:ascii="黑体" w:hAnsi="黑体" w:eastAsia="黑体" w:cs="黑体"/>
          <w:snapToGrid w:val="0"/>
          <w:kern w:val="0"/>
          <w:sz w:val="32"/>
          <w:szCs w:val="32"/>
        </w:rPr>
      </w:pPr>
      <w:bookmarkStart w:id="0" w:name="_Toc15377193"/>
      <w:bookmarkStart w:id="1" w:name="_Toc15396475"/>
      <w:bookmarkStart w:id="2" w:name="_Toc15396597"/>
      <w:bookmarkStart w:id="3" w:name="_Toc15378441"/>
      <w:bookmarkStart w:id="4" w:name="_Toc15377425"/>
      <w:bookmarkStart w:id="5" w:name="_Toc15306267"/>
    </w:p>
    <w:p w14:paraId="2AC62B4C">
      <w:pPr>
        <w:pStyle w:val="13"/>
      </w:pPr>
    </w:p>
    <w:p w14:paraId="5FCE88FF">
      <w:pPr>
        <w:pStyle w:val="2"/>
        <w:spacing w:before="93"/>
        <w:rPr>
          <w:rFonts w:ascii="Times New Roman" w:eastAsia="方正小标宋简体"/>
          <w:kern w:val="2"/>
          <w:sz w:val="72"/>
          <w:szCs w:val="72"/>
        </w:rPr>
      </w:pPr>
    </w:p>
    <w:p w14:paraId="476A68AC">
      <w:pPr>
        <w:pStyle w:val="2"/>
        <w:spacing w:before="93"/>
        <w:rPr>
          <w:rFonts w:hint="eastAsia" w:ascii="Times New Roman" w:eastAsia="方正小标宋简体"/>
          <w:kern w:val="2"/>
          <w:sz w:val="72"/>
          <w:szCs w:val="72"/>
        </w:rPr>
      </w:pPr>
    </w:p>
    <w:p w14:paraId="71A57BD8">
      <w:pPr>
        <w:pStyle w:val="2"/>
        <w:spacing w:before="93"/>
        <w:jc w:val="center"/>
        <w:rPr>
          <w:rFonts w:hint="eastAsia" w:ascii="Times New Roman" w:eastAsia="方正小标宋简体"/>
          <w:kern w:val="2"/>
          <w:sz w:val="44"/>
          <w:szCs w:val="44"/>
        </w:rPr>
      </w:pPr>
      <w:r>
        <w:rPr>
          <w:rFonts w:hint="eastAsia" w:ascii="Times New Roman" w:eastAsia="方正小标宋简体"/>
          <w:kern w:val="2"/>
          <w:sz w:val="44"/>
          <w:szCs w:val="44"/>
        </w:rPr>
        <w:t>2025年度</w:t>
      </w:r>
    </w:p>
    <w:p w14:paraId="7A522CA5">
      <w:pPr>
        <w:pStyle w:val="2"/>
        <w:spacing w:before="93"/>
        <w:jc w:val="center"/>
        <w:rPr>
          <w:rFonts w:hint="eastAsia" w:ascii="Times New Roman" w:eastAsia="方正小标宋简体"/>
          <w:kern w:val="2"/>
          <w:sz w:val="44"/>
          <w:szCs w:val="44"/>
          <w:lang w:eastAsia="zh-CN"/>
        </w:rPr>
      </w:pPr>
      <w:r>
        <w:rPr>
          <w:rFonts w:hint="eastAsia" w:ascii="Times New Roman" w:eastAsia="方正小标宋简体"/>
          <w:kern w:val="2"/>
          <w:sz w:val="44"/>
          <w:szCs w:val="44"/>
          <w:lang w:eastAsia="zh-CN"/>
        </w:rPr>
        <w:t>攀枝花市胜利水利工程运行中心</w:t>
      </w:r>
    </w:p>
    <w:p w14:paraId="35F013BF">
      <w:pPr>
        <w:pStyle w:val="2"/>
        <w:spacing w:before="93"/>
        <w:jc w:val="center"/>
        <w:rPr>
          <w:rFonts w:ascii="Times New Roman" w:eastAsia="方正小标宋简体"/>
          <w:kern w:val="2"/>
          <w:sz w:val="44"/>
          <w:szCs w:val="44"/>
        </w:rPr>
      </w:pPr>
      <w:r>
        <w:rPr>
          <w:rFonts w:hint="eastAsia" w:ascii="Times New Roman" w:eastAsia="方正小标宋简体"/>
          <w:kern w:val="2"/>
          <w:sz w:val="44"/>
          <w:szCs w:val="44"/>
        </w:rPr>
        <w:t>决算公开编制说明</w:t>
      </w:r>
    </w:p>
    <w:p w14:paraId="04765BF0">
      <w:pPr>
        <w:spacing w:line="600" w:lineRule="exact"/>
        <w:jc w:val="center"/>
        <w:outlineLvl w:val="0"/>
        <w:rPr>
          <w:rFonts w:eastAsia="方正小标宋简体"/>
          <w:sz w:val="72"/>
          <w:szCs w:val="72"/>
        </w:rPr>
      </w:pPr>
    </w:p>
    <w:p w14:paraId="0ED159F2">
      <w:pPr>
        <w:pStyle w:val="19"/>
        <w:rPr>
          <w:rFonts w:ascii="Times New Roman" w:hAnsi="Times New Roman"/>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14:paraId="005C4D6F"/>
    <w:bookmarkEnd w:id="0"/>
    <w:bookmarkEnd w:id="1"/>
    <w:bookmarkEnd w:id="2"/>
    <w:bookmarkEnd w:id="3"/>
    <w:bookmarkEnd w:id="4"/>
    <w:bookmarkEnd w:id="5"/>
    <w:p w14:paraId="3C52B84D">
      <w:pPr>
        <w:widowControl/>
        <w:jc w:val="center"/>
        <w:rPr>
          <w:rFonts w:eastAsia="黑体"/>
          <w:sz w:val="48"/>
          <w:szCs w:val="48"/>
        </w:rPr>
      </w:pPr>
      <w:r>
        <w:rPr>
          <w:rFonts w:hint="eastAsia" w:eastAsia="黑体"/>
          <w:sz w:val="48"/>
          <w:szCs w:val="48"/>
        </w:rPr>
        <w:t>目录</w:t>
      </w:r>
    </w:p>
    <w:p w14:paraId="7C860565">
      <w:pPr>
        <w:widowControl/>
        <w:jc w:val="center"/>
        <w:rPr>
          <w:rFonts w:eastAsia="黑体" w:cstheme="minorBidi"/>
          <w:sz w:val="28"/>
          <w:szCs w:val="28"/>
        </w:rPr>
      </w:pPr>
    </w:p>
    <w:p w14:paraId="58E3DD02">
      <w:pPr>
        <w:pStyle w:val="12"/>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公开时间：2026年</w:t>
      </w:r>
      <w:r>
        <w:rPr>
          <w:rFonts w:hint="eastAsia" w:ascii="Times New Roman" w:hAnsi="Times New Roman" w:eastAsia="仿宋_GB2312" w:cs="仿宋_GB2312"/>
          <w:color w:val="auto"/>
          <w:sz w:val="32"/>
          <w:szCs w:val="32"/>
          <w:lang w:val="en-US" w:eastAsia="zh-CN"/>
        </w:rPr>
        <w:t>9</w:t>
      </w:r>
      <w:r>
        <w:rPr>
          <w:rFonts w:hint="eastAsia" w:ascii="Times New Roman" w:hAnsi="Times New Roman" w:eastAsia="仿宋_GB2312" w:cs="仿宋_GB2312"/>
          <w:color w:val="auto"/>
          <w:sz w:val="32"/>
          <w:szCs w:val="32"/>
        </w:rPr>
        <w:t>月</w:t>
      </w:r>
      <w:r>
        <w:rPr>
          <w:rFonts w:hint="eastAsia" w:ascii="Times New Roman" w:hAnsi="Times New Roman" w:eastAsia="仿宋_GB2312" w:cs="仿宋_GB2312"/>
          <w:color w:val="auto"/>
          <w:sz w:val="32"/>
          <w:szCs w:val="32"/>
          <w:lang w:val="en-US" w:eastAsia="zh-CN"/>
        </w:rPr>
        <w:t>14</w:t>
      </w:r>
      <w:r>
        <w:rPr>
          <w:rFonts w:hint="eastAsia" w:ascii="Times New Roman" w:hAnsi="Times New Roman" w:eastAsia="仿宋_GB2312" w:cs="仿宋_GB2312"/>
          <w:color w:val="auto"/>
          <w:sz w:val="32"/>
          <w:szCs w:val="32"/>
        </w:rPr>
        <w:t>日</w:t>
      </w:r>
    </w:p>
    <w:p w14:paraId="4C21B1F5">
      <w:pPr>
        <w:rPr>
          <w:color w:val="auto"/>
        </w:rPr>
      </w:pPr>
    </w:p>
    <w:p w14:paraId="0E7E9E16">
      <w:pPr>
        <w:pStyle w:val="12"/>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 xml:space="preserve">第一部分 </w:t>
      </w:r>
      <w:r>
        <w:rPr>
          <w:rFonts w:hint="eastAsia" w:ascii="Times New Roman" w:hAnsi="Times New Roman" w:eastAsia="黑体" w:cs="黑体"/>
          <w:sz w:val="32"/>
          <w:szCs w:val="32"/>
          <w:lang w:eastAsia="zh-CN"/>
        </w:rPr>
        <w:t>单位</w:t>
      </w:r>
      <w:r>
        <w:rPr>
          <w:rFonts w:hint="eastAsia" w:ascii="Times New Roman" w:hAnsi="Times New Roman" w:eastAsia="黑体" w:cs="黑体"/>
          <w:sz w:val="32"/>
          <w:szCs w:val="32"/>
        </w:rPr>
        <w:t>概况</w:t>
      </w:r>
      <w:r>
        <w:rPr>
          <w:rFonts w:hint="eastAsia" w:ascii="Times New Roman" w:hAnsi="Times New Roman" w:eastAsia="黑体" w:cs="黑体"/>
          <w:color w:val="auto"/>
          <w:sz w:val="32"/>
          <w:szCs w:val="32"/>
          <w:highlight w:val="none"/>
          <w:lang w:val="en-US" w:eastAsia="zh-CN"/>
        </w:rPr>
        <w:t>...................................................................3</w:t>
      </w:r>
    </w:p>
    <w:p w14:paraId="3F84946B">
      <w:pPr>
        <w:pStyle w:val="12"/>
        <w:adjustRightInd w:val="0"/>
        <w:snapToGrid w:val="0"/>
        <w:spacing w:before="0" w:line="560" w:lineRule="exact"/>
        <w:ind w:firstLine="640" w:firstLineChars="200"/>
        <w:jc w:val="left"/>
        <w:rPr>
          <w:rFonts w:eastAsia="仿宋_GB2312" w:cs="仿宋_GB2312"/>
          <w:sz w:val="32"/>
          <w:szCs w:val="32"/>
        </w:rPr>
      </w:pPr>
      <w:r>
        <w:rPr>
          <w:rFonts w:hint="eastAsia" w:eastAsia="仿宋_GB2312" w:cs="仿宋_GB2312"/>
          <w:sz w:val="32"/>
          <w:szCs w:val="32"/>
        </w:rPr>
        <w:t>一</w:t>
      </w:r>
      <w:r>
        <w:rPr>
          <w:rFonts w:hint="eastAsia" w:eastAsia="仿宋_GB2312" w:cs="仿宋_GB2312"/>
          <w:sz w:val="32"/>
          <w:szCs w:val="32"/>
          <w:lang w:eastAsia="zh-CN"/>
        </w:rPr>
        <w:t>、单位</w:t>
      </w:r>
      <w:r>
        <w:rPr>
          <w:rFonts w:hint="eastAsia" w:eastAsia="仿宋_GB2312" w:cs="仿宋_GB2312"/>
          <w:sz w:val="32"/>
          <w:szCs w:val="32"/>
        </w:rPr>
        <w:t>职责</w:t>
      </w:r>
      <w:r>
        <w:rPr>
          <w:rFonts w:hint="eastAsia" w:ascii="Times New Roman" w:hAnsi="Times New Roman" w:eastAsia="黑体" w:cs="黑体"/>
          <w:color w:val="auto"/>
          <w:sz w:val="32"/>
          <w:szCs w:val="32"/>
          <w:highlight w:val="none"/>
          <w:lang w:val="en-US" w:eastAsia="zh-CN"/>
        </w:rPr>
        <w:t>.....................................................................3</w:t>
      </w:r>
    </w:p>
    <w:p w14:paraId="60BE6CD6">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二、机构设置</w:t>
      </w:r>
      <w:r>
        <w:rPr>
          <w:rFonts w:hint="eastAsia" w:ascii="Times New Roman" w:hAnsi="Times New Roman" w:eastAsia="黑体" w:cs="黑体"/>
          <w:color w:val="auto"/>
          <w:sz w:val="32"/>
          <w:szCs w:val="32"/>
          <w:highlight w:val="none"/>
          <w:lang w:val="en-US" w:eastAsia="zh-CN"/>
        </w:rPr>
        <w:t>.....................................................................3</w:t>
      </w:r>
    </w:p>
    <w:p w14:paraId="1BCA2744">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第二部分 2025年度</w:t>
      </w:r>
      <w:r>
        <w:rPr>
          <w:rFonts w:hint="eastAsia" w:ascii="Times New Roman" w:hAnsi="Times New Roman" w:eastAsia="黑体" w:cs="黑体"/>
          <w:sz w:val="32"/>
          <w:szCs w:val="32"/>
          <w:lang w:eastAsia="zh-CN"/>
        </w:rPr>
        <w:t>单位</w:t>
      </w:r>
      <w:r>
        <w:rPr>
          <w:rFonts w:hint="eastAsia" w:ascii="Times New Roman" w:hAnsi="Times New Roman" w:eastAsia="黑体" w:cs="黑体"/>
          <w:sz w:val="32"/>
          <w:szCs w:val="32"/>
        </w:rPr>
        <w:t>决算情况说明</w:t>
      </w:r>
      <w:r>
        <w:rPr>
          <w:rFonts w:hint="eastAsia" w:ascii="Times New Roman" w:hAnsi="Times New Roman" w:eastAsia="黑体" w:cs="黑体"/>
          <w:color w:val="auto"/>
          <w:sz w:val="32"/>
          <w:szCs w:val="32"/>
          <w:highlight w:val="none"/>
          <w:lang w:val="en-US" w:eastAsia="zh-CN"/>
        </w:rPr>
        <w:t>..................................4</w:t>
      </w:r>
    </w:p>
    <w:p w14:paraId="66A118E8">
      <w:pPr>
        <w:pStyle w:val="12"/>
        <w:adjustRightInd w:val="0"/>
        <w:snapToGrid w:val="0"/>
        <w:spacing w:before="0" w:line="560" w:lineRule="exact"/>
        <w:ind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一、收入支出决算总体情况说明</w:t>
      </w:r>
      <w:r>
        <w:rPr>
          <w:rFonts w:hint="eastAsia" w:ascii="Times New Roman" w:hAnsi="Times New Roman" w:eastAsia="黑体" w:cs="黑体"/>
          <w:color w:val="auto"/>
          <w:sz w:val="32"/>
          <w:szCs w:val="32"/>
          <w:highlight w:val="none"/>
          <w:lang w:val="en-US" w:eastAsia="zh-CN"/>
        </w:rPr>
        <w:t>......................................4</w:t>
      </w:r>
    </w:p>
    <w:p w14:paraId="1C46B368">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二、收入决算情况说明</w:t>
      </w:r>
      <w:r>
        <w:rPr>
          <w:rFonts w:hint="eastAsia" w:ascii="Times New Roman" w:hAnsi="Times New Roman" w:eastAsia="黑体" w:cs="黑体"/>
          <w:color w:val="auto"/>
          <w:sz w:val="32"/>
          <w:szCs w:val="32"/>
          <w:highlight w:val="none"/>
          <w:lang w:val="en-US" w:eastAsia="zh-CN"/>
        </w:rPr>
        <w:t>......................................................4</w:t>
      </w:r>
    </w:p>
    <w:p w14:paraId="037F9D3E">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三、支出决算情况说明</w:t>
      </w:r>
      <w:r>
        <w:rPr>
          <w:rFonts w:hint="eastAsia" w:ascii="Times New Roman" w:hAnsi="Times New Roman" w:eastAsia="黑体" w:cs="黑体"/>
          <w:color w:val="auto"/>
          <w:sz w:val="32"/>
          <w:szCs w:val="32"/>
          <w:highlight w:val="none"/>
          <w:lang w:val="en-US" w:eastAsia="zh-CN"/>
        </w:rPr>
        <w:t>......................................................5</w:t>
      </w:r>
    </w:p>
    <w:p w14:paraId="22DB1C8A">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四、财政拨款收入支出决算总体情况说明</w:t>
      </w:r>
      <w:r>
        <w:rPr>
          <w:rFonts w:hint="eastAsia" w:ascii="Times New Roman" w:hAnsi="Times New Roman" w:eastAsia="黑体" w:cs="黑体"/>
          <w:color w:val="auto"/>
          <w:sz w:val="32"/>
          <w:szCs w:val="32"/>
          <w:highlight w:val="none"/>
          <w:lang w:val="en-US" w:eastAsia="zh-CN"/>
        </w:rPr>
        <w:t>......................5</w:t>
      </w:r>
    </w:p>
    <w:p w14:paraId="6BEABA00">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五、一般公共预算财政拨款支出决算情况说明</w:t>
      </w:r>
      <w:r>
        <w:rPr>
          <w:rFonts w:hint="eastAsia" w:ascii="Times New Roman" w:hAnsi="Times New Roman" w:eastAsia="黑体" w:cs="黑体"/>
          <w:color w:val="auto"/>
          <w:sz w:val="32"/>
          <w:szCs w:val="32"/>
          <w:highlight w:val="none"/>
          <w:lang w:val="en-US" w:eastAsia="zh-CN"/>
        </w:rPr>
        <w:t>..............6</w:t>
      </w:r>
    </w:p>
    <w:p w14:paraId="16AF1F0B">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六、一般公共预算财政拨款基本支出决算情况说明</w:t>
      </w:r>
      <w:r>
        <w:rPr>
          <w:rFonts w:hint="eastAsia" w:ascii="Times New Roman" w:hAnsi="Times New Roman" w:eastAsia="黑体" w:cs="黑体"/>
          <w:color w:val="auto"/>
          <w:sz w:val="32"/>
          <w:szCs w:val="32"/>
          <w:highlight w:val="none"/>
          <w:lang w:val="en-US" w:eastAsia="zh-CN"/>
        </w:rPr>
        <w:t>......9</w:t>
      </w:r>
    </w:p>
    <w:p w14:paraId="785E6343">
      <w:pPr>
        <w:pStyle w:val="14"/>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七、财政拨款“三公”经费支出决算情况说明</w:t>
      </w:r>
      <w:r>
        <w:rPr>
          <w:rFonts w:hint="eastAsia" w:ascii="Times New Roman" w:hAnsi="Times New Roman" w:eastAsia="黑体" w:cs="黑体"/>
          <w:color w:val="auto"/>
          <w:sz w:val="32"/>
          <w:szCs w:val="32"/>
          <w:highlight w:val="none"/>
          <w:lang w:val="en-US" w:eastAsia="zh-CN"/>
        </w:rPr>
        <w:t>...............9</w:t>
      </w:r>
    </w:p>
    <w:p w14:paraId="4D311F59">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八、政府性基金预算支出决算情况说明</w:t>
      </w:r>
      <w:r>
        <w:rPr>
          <w:rFonts w:hint="eastAsia" w:ascii="Times New Roman" w:hAnsi="Times New Roman" w:eastAsia="黑体" w:cs="黑体"/>
          <w:color w:val="auto"/>
          <w:sz w:val="32"/>
          <w:szCs w:val="32"/>
          <w:highlight w:val="none"/>
          <w:lang w:val="en-US" w:eastAsia="zh-CN"/>
        </w:rPr>
        <w:t>.........................11</w:t>
      </w:r>
    </w:p>
    <w:p w14:paraId="0DDAB4CD">
      <w:pPr>
        <w:pStyle w:val="14"/>
        <w:adjustRightInd w:val="0"/>
        <w:snapToGrid w:val="0"/>
        <w:spacing w:line="560" w:lineRule="exact"/>
        <w:ind w:left="0" w:leftChars="0" w:firstLine="640" w:firstLineChars="200"/>
        <w:jc w:val="left"/>
        <w:rPr>
          <w:rFonts w:hint="eastAsia" w:eastAsia="仿宋_GB2312" w:cs="仿宋_GB2312"/>
          <w:sz w:val="32"/>
          <w:szCs w:val="32"/>
          <w:lang w:val="en-US" w:eastAsia="zh-CN"/>
        </w:rPr>
      </w:pPr>
      <w:r>
        <w:rPr>
          <w:rFonts w:hint="eastAsia" w:eastAsia="仿宋_GB2312" w:cs="仿宋_GB2312"/>
          <w:sz w:val="32"/>
          <w:szCs w:val="32"/>
        </w:rPr>
        <w:t>九、国有资本经营预算支出决算情况说明</w:t>
      </w:r>
      <w:r>
        <w:rPr>
          <w:rFonts w:hint="eastAsia" w:ascii="Times New Roman" w:hAnsi="Times New Roman" w:eastAsia="黑体" w:cs="黑体"/>
          <w:color w:val="auto"/>
          <w:sz w:val="32"/>
          <w:szCs w:val="32"/>
          <w:highlight w:val="none"/>
          <w:lang w:val="en-US" w:eastAsia="zh-CN"/>
        </w:rPr>
        <w:t>....................11</w:t>
      </w:r>
    </w:p>
    <w:p w14:paraId="26B10B25">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十、其他重要事项的情况说明</w:t>
      </w:r>
      <w:r>
        <w:rPr>
          <w:rFonts w:hint="eastAsia" w:ascii="Times New Roman" w:hAnsi="Times New Roman" w:eastAsia="黑体" w:cs="黑体"/>
          <w:color w:val="auto"/>
          <w:sz w:val="32"/>
          <w:szCs w:val="32"/>
          <w:highlight w:val="none"/>
          <w:lang w:val="en-US" w:eastAsia="zh-CN"/>
        </w:rPr>
        <w:t>.........................................12</w:t>
      </w:r>
    </w:p>
    <w:p w14:paraId="353ADA35">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第三部分 名词解释</w:t>
      </w:r>
      <w:r>
        <w:rPr>
          <w:rFonts w:hint="eastAsia" w:ascii="Times New Roman" w:hAnsi="Times New Roman" w:eastAsia="黑体" w:cs="黑体"/>
          <w:color w:val="auto"/>
          <w:sz w:val="32"/>
          <w:szCs w:val="32"/>
          <w:highlight w:val="none"/>
          <w:lang w:val="en-US" w:eastAsia="zh-CN"/>
        </w:rPr>
        <w:t>.................................................................14</w:t>
      </w:r>
    </w:p>
    <w:p w14:paraId="417F0F54">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第四部分 附件</w:t>
      </w:r>
      <w:r>
        <w:rPr>
          <w:rFonts w:hint="eastAsia" w:ascii="Times New Roman" w:hAnsi="Times New Roman" w:eastAsia="黑体" w:cs="黑体"/>
          <w:color w:val="auto"/>
          <w:sz w:val="32"/>
          <w:szCs w:val="32"/>
          <w:highlight w:val="none"/>
          <w:lang w:val="en-US" w:eastAsia="zh-CN"/>
        </w:rPr>
        <w:t>.........................................................................16</w:t>
      </w:r>
    </w:p>
    <w:p w14:paraId="53B08267">
      <w:pPr>
        <w:pStyle w:val="12"/>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第五部分 附表</w:t>
      </w:r>
      <w:r>
        <w:rPr>
          <w:rFonts w:hint="eastAsia" w:ascii="Times New Roman" w:hAnsi="Times New Roman" w:eastAsia="黑体" w:cs="黑体"/>
          <w:color w:val="auto"/>
          <w:sz w:val="32"/>
          <w:szCs w:val="32"/>
          <w:highlight w:val="none"/>
          <w:lang w:val="en-US" w:eastAsia="zh-CN"/>
        </w:rPr>
        <w:t>.........................................................................33</w:t>
      </w:r>
    </w:p>
    <w:p w14:paraId="14E4083A">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一、收入支出决算总表</w:t>
      </w:r>
      <w:r>
        <w:rPr>
          <w:rFonts w:hint="eastAsia" w:ascii="Times New Roman" w:hAnsi="Times New Roman" w:eastAsia="黑体" w:cs="黑体"/>
          <w:color w:val="auto"/>
          <w:sz w:val="32"/>
          <w:szCs w:val="32"/>
          <w:highlight w:val="none"/>
          <w:lang w:val="en-US" w:eastAsia="zh-CN"/>
        </w:rPr>
        <w:t>..................................................3</w:t>
      </w:r>
      <w:r>
        <w:rPr>
          <w:rFonts w:hint="eastAsia" w:eastAsia="黑体" w:cs="黑体"/>
          <w:color w:val="auto"/>
          <w:sz w:val="32"/>
          <w:szCs w:val="32"/>
          <w:highlight w:val="none"/>
          <w:lang w:val="en-US" w:eastAsia="zh-CN"/>
        </w:rPr>
        <w:t>3</w:t>
      </w:r>
    </w:p>
    <w:p w14:paraId="47D2BBF4">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二、收入决算表</w:t>
      </w:r>
      <w:r>
        <w:rPr>
          <w:rFonts w:hint="eastAsia" w:ascii="Times New Roman" w:hAnsi="Times New Roman" w:eastAsia="黑体" w:cs="黑体"/>
          <w:color w:val="auto"/>
          <w:sz w:val="32"/>
          <w:szCs w:val="32"/>
          <w:highlight w:val="none"/>
          <w:lang w:val="en-US" w:eastAsia="zh-CN"/>
        </w:rPr>
        <w:t>..............................................................3</w:t>
      </w:r>
      <w:r>
        <w:rPr>
          <w:rFonts w:hint="eastAsia" w:eastAsia="黑体" w:cs="黑体"/>
          <w:color w:val="auto"/>
          <w:sz w:val="32"/>
          <w:szCs w:val="32"/>
          <w:highlight w:val="none"/>
          <w:lang w:val="en-US" w:eastAsia="zh-CN"/>
        </w:rPr>
        <w:t>3</w:t>
      </w:r>
    </w:p>
    <w:p w14:paraId="3DC22AE2">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三、支出决算表</w:t>
      </w:r>
      <w:r>
        <w:rPr>
          <w:rFonts w:hint="eastAsia" w:ascii="Times New Roman" w:hAnsi="Times New Roman" w:eastAsia="黑体" w:cs="黑体"/>
          <w:color w:val="auto"/>
          <w:sz w:val="32"/>
          <w:szCs w:val="32"/>
          <w:highlight w:val="none"/>
          <w:lang w:val="en-US" w:eastAsia="zh-CN"/>
        </w:rPr>
        <w:t>..............................................................3</w:t>
      </w:r>
      <w:r>
        <w:rPr>
          <w:rFonts w:hint="eastAsia" w:eastAsia="黑体" w:cs="黑体"/>
          <w:color w:val="auto"/>
          <w:sz w:val="32"/>
          <w:szCs w:val="32"/>
          <w:highlight w:val="none"/>
          <w:lang w:val="en-US" w:eastAsia="zh-CN"/>
        </w:rPr>
        <w:t>3</w:t>
      </w:r>
    </w:p>
    <w:p w14:paraId="48F5E88E">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四、财政拨款收入支出决算总表</w:t>
      </w:r>
      <w:r>
        <w:rPr>
          <w:rFonts w:hint="eastAsia" w:ascii="Times New Roman" w:hAnsi="Times New Roman" w:eastAsia="黑体" w:cs="黑体"/>
          <w:color w:val="auto"/>
          <w:sz w:val="32"/>
          <w:szCs w:val="32"/>
          <w:highlight w:val="none"/>
          <w:lang w:val="en-US" w:eastAsia="zh-CN"/>
        </w:rPr>
        <w:t>.................................3</w:t>
      </w:r>
      <w:r>
        <w:rPr>
          <w:rFonts w:hint="eastAsia" w:eastAsia="黑体" w:cs="黑体"/>
          <w:color w:val="auto"/>
          <w:sz w:val="32"/>
          <w:szCs w:val="32"/>
          <w:highlight w:val="none"/>
          <w:lang w:val="en-US" w:eastAsia="zh-CN"/>
        </w:rPr>
        <w:t>3</w:t>
      </w:r>
    </w:p>
    <w:p w14:paraId="7C626C5B">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五、财政拨款支出决算明细表</w:t>
      </w:r>
      <w:r>
        <w:rPr>
          <w:rFonts w:hint="eastAsia" w:ascii="Times New Roman" w:hAnsi="Times New Roman" w:eastAsia="黑体" w:cs="黑体"/>
          <w:color w:val="auto"/>
          <w:sz w:val="32"/>
          <w:szCs w:val="32"/>
          <w:highlight w:val="none"/>
          <w:lang w:val="en-US" w:eastAsia="zh-CN"/>
        </w:rPr>
        <w:t>.....................................3</w:t>
      </w:r>
      <w:r>
        <w:rPr>
          <w:rFonts w:hint="eastAsia" w:eastAsia="黑体" w:cs="黑体"/>
          <w:color w:val="auto"/>
          <w:sz w:val="32"/>
          <w:szCs w:val="32"/>
          <w:highlight w:val="none"/>
          <w:lang w:val="en-US" w:eastAsia="zh-CN"/>
        </w:rPr>
        <w:t>3</w:t>
      </w:r>
    </w:p>
    <w:p w14:paraId="61FA9A08">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六、一般公共预算财政拨款支出决算表</w:t>
      </w:r>
      <w:r>
        <w:rPr>
          <w:rFonts w:hint="eastAsia" w:ascii="Times New Roman" w:hAnsi="Times New Roman" w:eastAsia="黑体" w:cs="黑体"/>
          <w:color w:val="auto"/>
          <w:sz w:val="32"/>
          <w:szCs w:val="32"/>
          <w:highlight w:val="none"/>
          <w:lang w:val="en-US" w:eastAsia="zh-CN"/>
        </w:rPr>
        <w:t>.....................3</w:t>
      </w:r>
      <w:r>
        <w:rPr>
          <w:rFonts w:hint="eastAsia" w:eastAsia="黑体" w:cs="黑体"/>
          <w:color w:val="auto"/>
          <w:sz w:val="32"/>
          <w:szCs w:val="32"/>
          <w:highlight w:val="none"/>
          <w:lang w:val="en-US" w:eastAsia="zh-CN"/>
        </w:rPr>
        <w:t>3</w:t>
      </w:r>
    </w:p>
    <w:p w14:paraId="5E3100D1">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七、一般公共预算财政拨款支出决算明细表</w:t>
      </w:r>
      <w:r>
        <w:rPr>
          <w:rFonts w:hint="eastAsia" w:ascii="Times New Roman" w:hAnsi="Times New Roman" w:eastAsia="黑体" w:cs="黑体"/>
          <w:color w:val="auto"/>
          <w:sz w:val="32"/>
          <w:szCs w:val="32"/>
          <w:highlight w:val="none"/>
          <w:lang w:val="en-US" w:eastAsia="zh-CN"/>
        </w:rPr>
        <w:t>.............3</w:t>
      </w:r>
      <w:r>
        <w:rPr>
          <w:rFonts w:hint="eastAsia" w:eastAsia="黑体" w:cs="黑体"/>
          <w:color w:val="auto"/>
          <w:sz w:val="32"/>
          <w:szCs w:val="32"/>
          <w:highlight w:val="none"/>
          <w:lang w:val="en-US" w:eastAsia="zh-CN"/>
        </w:rPr>
        <w:t>3</w:t>
      </w:r>
    </w:p>
    <w:p w14:paraId="3625AB08">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八、一般公共预算财政拨款基本支出决算明细表</w:t>
      </w:r>
      <w:r>
        <w:rPr>
          <w:rFonts w:hint="eastAsia" w:ascii="Times New Roman" w:hAnsi="Times New Roman" w:eastAsia="黑体" w:cs="黑体"/>
          <w:color w:val="auto"/>
          <w:sz w:val="32"/>
          <w:szCs w:val="32"/>
          <w:highlight w:val="none"/>
          <w:lang w:val="en-US" w:eastAsia="zh-CN"/>
        </w:rPr>
        <w:t>.....3</w:t>
      </w:r>
      <w:r>
        <w:rPr>
          <w:rFonts w:hint="eastAsia" w:eastAsia="黑体" w:cs="黑体"/>
          <w:color w:val="auto"/>
          <w:sz w:val="32"/>
          <w:szCs w:val="32"/>
          <w:highlight w:val="none"/>
          <w:lang w:val="en-US" w:eastAsia="zh-CN"/>
        </w:rPr>
        <w:t>3</w:t>
      </w:r>
    </w:p>
    <w:p w14:paraId="0694D4C2">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九、一般公共预算财政拨款项目支出决算表</w:t>
      </w:r>
      <w:r>
        <w:rPr>
          <w:rFonts w:hint="eastAsia" w:ascii="Times New Roman" w:hAnsi="Times New Roman" w:eastAsia="黑体" w:cs="黑体"/>
          <w:color w:val="auto"/>
          <w:sz w:val="32"/>
          <w:szCs w:val="32"/>
          <w:highlight w:val="none"/>
          <w:lang w:val="en-US" w:eastAsia="zh-CN"/>
        </w:rPr>
        <w:t>.............3</w:t>
      </w:r>
      <w:r>
        <w:rPr>
          <w:rFonts w:hint="eastAsia" w:eastAsia="黑体" w:cs="黑体"/>
          <w:color w:val="auto"/>
          <w:sz w:val="32"/>
          <w:szCs w:val="32"/>
          <w:highlight w:val="none"/>
          <w:lang w:val="en-US" w:eastAsia="zh-CN"/>
        </w:rPr>
        <w:t>3</w:t>
      </w:r>
    </w:p>
    <w:p w14:paraId="0AA67688">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十、政府性基金预算财政拨款收入支出决算表</w:t>
      </w:r>
      <w:r>
        <w:rPr>
          <w:rFonts w:hint="eastAsia" w:ascii="Times New Roman" w:hAnsi="Times New Roman" w:eastAsia="黑体" w:cs="黑体"/>
          <w:color w:val="auto"/>
          <w:sz w:val="32"/>
          <w:szCs w:val="32"/>
          <w:highlight w:val="none"/>
          <w:lang w:val="en-US" w:eastAsia="zh-CN"/>
        </w:rPr>
        <w:t>.........3</w:t>
      </w:r>
      <w:r>
        <w:rPr>
          <w:rFonts w:hint="eastAsia" w:eastAsia="黑体" w:cs="黑体"/>
          <w:color w:val="auto"/>
          <w:sz w:val="32"/>
          <w:szCs w:val="32"/>
          <w:highlight w:val="none"/>
          <w:lang w:val="en-US" w:eastAsia="zh-CN"/>
        </w:rPr>
        <w:t>3</w:t>
      </w:r>
    </w:p>
    <w:p w14:paraId="15DBEB39">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十一、国有资本经营预算财政拨款收入支出决算表</w:t>
      </w:r>
      <w:r>
        <w:rPr>
          <w:rFonts w:hint="eastAsia" w:ascii="Times New Roman" w:hAnsi="Times New Roman" w:eastAsia="黑体" w:cs="黑体"/>
          <w:color w:val="auto"/>
          <w:sz w:val="32"/>
          <w:szCs w:val="32"/>
          <w:highlight w:val="none"/>
          <w:lang w:val="en-US" w:eastAsia="zh-CN"/>
        </w:rPr>
        <w:t>.3</w:t>
      </w:r>
      <w:r>
        <w:rPr>
          <w:rFonts w:hint="eastAsia" w:eastAsia="黑体" w:cs="黑体"/>
          <w:color w:val="auto"/>
          <w:sz w:val="32"/>
          <w:szCs w:val="32"/>
          <w:highlight w:val="none"/>
          <w:lang w:val="en-US" w:eastAsia="zh-CN"/>
        </w:rPr>
        <w:t>3</w:t>
      </w:r>
    </w:p>
    <w:p w14:paraId="625B9EDD">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十二、国有资本经营预算财政拨款支出决算表</w:t>
      </w:r>
      <w:r>
        <w:rPr>
          <w:rFonts w:hint="eastAsia" w:ascii="Times New Roman" w:hAnsi="Times New Roman" w:eastAsia="黑体" w:cs="黑体"/>
          <w:color w:val="auto"/>
          <w:sz w:val="32"/>
          <w:szCs w:val="32"/>
          <w:highlight w:val="none"/>
          <w:lang w:val="en-US" w:eastAsia="zh-CN"/>
        </w:rPr>
        <w:t>.........3</w:t>
      </w:r>
      <w:r>
        <w:rPr>
          <w:rFonts w:hint="eastAsia" w:eastAsia="黑体" w:cs="黑体"/>
          <w:color w:val="auto"/>
          <w:sz w:val="32"/>
          <w:szCs w:val="32"/>
          <w:highlight w:val="none"/>
          <w:lang w:val="en-US" w:eastAsia="zh-CN"/>
        </w:rPr>
        <w:t>3</w:t>
      </w:r>
    </w:p>
    <w:p w14:paraId="5F3EA63B">
      <w:pPr>
        <w:pStyle w:val="14"/>
        <w:adjustRightInd w:val="0"/>
        <w:snapToGrid w:val="0"/>
        <w:spacing w:line="560" w:lineRule="exact"/>
        <w:ind w:left="0" w:leftChars="0" w:firstLine="640" w:firstLineChars="200"/>
        <w:jc w:val="left"/>
        <w:rPr>
          <w:rFonts w:hint="default" w:eastAsia="仿宋_GB2312" w:cs="仿宋_GB2312"/>
          <w:sz w:val="32"/>
          <w:szCs w:val="32"/>
          <w:lang w:val="en-US"/>
        </w:rPr>
      </w:pPr>
      <w:r>
        <w:rPr>
          <w:rFonts w:hint="eastAsia" w:eastAsia="仿宋_GB2312" w:cs="仿宋_GB2312"/>
          <w:sz w:val="32"/>
          <w:szCs w:val="32"/>
        </w:rPr>
        <w:t>十三、财政拨款“三公”经费支出决算表</w:t>
      </w:r>
      <w:r>
        <w:rPr>
          <w:rFonts w:hint="eastAsia" w:ascii="Times New Roman" w:hAnsi="Times New Roman" w:eastAsia="黑体" w:cs="黑体"/>
          <w:color w:val="auto"/>
          <w:sz w:val="32"/>
          <w:szCs w:val="32"/>
          <w:highlight w:val="none"/>
          <w:lang w:val="en-US" w:eastAsia="zh-CN"/>
        </w:rPr>
        <w:t>.................3</w:t>
      </w:r>
      <w:r>
        <w:rPr>
          <w:rFonts w:hint="eastAsia" w:eastAsia="黑体" w:cs="黑体"/>
          <w:color w:val="auto"/>
          <w:sz w:val="32"/>
          <w:szCs w:val="32"/>
          <w:highlight w:val="none"/>
          <w:lang w:val="en-US" w:eastAsia="zh-CN"/>
        </w:rPr>
        <w:t>3</w:t>
      </w:r>
    </w:p>
    <w:p w14:paraId="367BAE28">
      <w:pPr>
        <w:widowControl/>
        <w:spacing w:line="560" w:lineRule="exact"/>
        <w:jc w:val="left"/>
        <w:rPr>
          <w:rFonts w:eastAsia="仿宋_GB2312" w:cs="仿宋_GB2312"/>
          <w:bCs/>
          <w:kern w:val="44"/>
          <w:sz w:val="32"/>
          <w:szCs w:val="32"/>
        </w:rPr>
      </w:pPr>
      <w:bookmarkStart w:id="6" w:name="_Toc15377196"/>
      <w:bookmarkStart w:id="7" w:name="_Toc15396599"/>
      <w:r>
        <w:rPr>
          <w:rFonts w:hint="eastAsia" w:eastAsia="仿宋_GB2312" w:cs="仿宋_GB2312"/>
          <w:b/>
          <w:sz w:val="32"/>
          <w:szCs w:val="32"/>
        </w:rPr>
        <w:br w:type="page"/>
      </w:r>
    </w:p>
    <w:p w14:paraId="7EB23BFA">
      <w:pPr>
        <w:pStyle w:val="3"/>
        <w:numPr>
          <w:ilvl w:val="0"/>
          <w:numId w:val="1"/>
        </w:numPr>
        <w:jc w:val="center"/>
        <w:rPr>
          <w:rStyle w:val="28"/>
          <w:rFonts w:hint="eastAsia" w:eastAsia="方正小标宋简体" w:cs="方正小标宋简体"/>
          <w:b w:val="0"/>
          <w:bCs w:val="0"/>
        </w:rPr>
      </w:pPr>
      <w:r>
        <w:rPr>
          <w:rFonts w:hint="eastAsia" w:eastAsia="方正小标宋简体" w:cs="方正小标宋简体"/>
          <w:b w:val="0"/>
        </w:rPr>
        <w:t xml:space="preserve"> </w:t>
      </w:r>
      <w:r>
        <w:rPr>
          <w:rFonts w:hint="eastAsia" w:eastAsia="方正小标宋简体" w:cs="方正小标宋简体"/>
          <w:b w:val="0"/>
          <w:lang w:eastAsia="zh-CN"/>
        </w:rPr>
        <w:t>单位</w:t>
      </w:r>
      <w:r>
        <w:rPr>
          <w:rStyle w:val="28"/>
          <w:rFonts w:hint="eastAsia" w:eastAsia="方正小标宋简体" w:cs="方正小标宋简体"/>
          <w:b w:val="0"/>
          <w:bCs w:val="0"/>
        </w:rPr>
        <w:t>概况</w:t>
      </w:r>
      <w:bookmarkEnd w:id="6"/>
      <w:bookmarkEnd w:id="7"/>
    </w:p>
    <w:p w14:paraId="06381DB5">
      <w:pPr>
        <w:numPr>
          <w:ilvl w:val="0"/>
          <w:numId w:val="0"/>
        </w:numPr>
      </w:pPr>
    </w:p>
    <w:p w14:paraId="20F852D3">
      <w:pPr>
        <w:pStyle w:val="4"/>
        <w:pageBreakBefore w:val="0"/>
        <w:widowControl w:val="0"/>
        <w:numPr>
          <w:ilvl w:val="0"/>
          <w:numId w:val="2"/>
        </w:numPr>
        <w:kinsoku/>
        <w:wordWrap/>
        <w:overflowPunct/>
        <w:topLinePunct w:val="0"/>
        <w:autoSpaceDE/>
        <w:autoSpaceDN/>
        <w:bidi w:val="0"/>
        <w:adjustRightInd/>
        <w:snapToGrid/>
        <w:spacing w:line="600" w:lineRule="exact"/>
        <w:textAlignment w:val="auto"/>
        <w:rPr>
          <w:rFonts w:hint="eastAsia" w:ascii="Times New Roman" w:hAnsi="Times New Roman" w:eastAsia="黑体"/>
          <w:b w:val="0"/>
        </w:rPr>
      </w:pPr>
      <w:r>
        <w:rPr>
          <w:rFonts w:hint="eastAsia" w:ascii="Times New Roman" w:hAnsi="Times New Roman" w:eastAsia="黑体"/>
          <w:b w:val="0"/>
          <w:lang w:eastAsia="zh-CN"/>
        </w:rPr>
        <w:t>单位</w:t>
      </w:r>
      <w:r>
        <w:rPr>
          <w:rFonts w:hint="eastAsia" w:ascii="Times New Roman" w:hAnsi="Times New Roman" w:eastAsia="黑体"/>
          <w:b w:val="0"/>
        </w:rPr>
        <w:t>职责</w:t>
      </w:r>
    </w:p>
    <w:p w14:paraId="7FBCED29">
      <w:pPr>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pPr>
      <w:r>
        <w:rPr>
          <w:rFonts w:hint="default" w:ascii="Times New Roman" w:hAnsi="Times New Roman" w:eastAsia="仿宋_GB2312" w:cs="Times New Roman"/>
          <w:color w:val="auto"/>
          <w:sz w:val="32"/>
          <w:szCs w:val="32"/>
        </w:rPr>
        <w:t>负责胜利水库、沙坝田水库管理范围内的工程及设施设备管理；承担日常维修养护、运行管理、安全监测、供水调度具体工作；编制汛期调度运行计划、大坝安全应急预案、防汛抢险应急预案并按批准的水库调度规程组织实施；承担权限范围内的水生态保护具体工作。</w:t>
      </w:r>
    </w:p>
    <w:p w14:paraId="1C3A5D9C">
      <w:pPr>
        <w:pStyle w:val="4"/>
        <w:pageBreakBefore w:val="0"/>
        <w:widowControl w:val="0"/>
        <w:kinsoku/>
        <w:wordWrap/>
        <w:overflowPunct/>
        <w:topLinePunct w:val="0"/>
        <w:autoSpaceDE/>
        <w:autoSpaceDN/>
        <w:bidi w:val="0"/>
        <w:adjustRightInd/>
        <w:snapToGrid/>
        <w:spacing w:line="600" w:lineRule="exact"/>
        <w:textAlignment w:val="auto"/>
        <w:rPr>
          <w:rStyle w:val="29"/>
          <w:rFonts w:ascii="Times New Roman" w:hAnsi="Times New Roman"/>
          <w:b w:val="0"/>
          <w:bCs w:val="0"/>
        </w:rPr>
      </w:pPr>
      <w:bookmarkStart w:id="8" w:name="_Toc15396601"/>
      <w:bookmarkStart w:id="9" w:name="_Toc15377200"/>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8"/>
      <w:bookmarkEnd w:id="9"/>
    </w:p>
    <w:p w14:paraId="04C92D1B">
      <w:pPr>
        <w:pageBreakBefore w:val="0"/>
        <w:widowControl w:val="0"/>
        <w:kinsoku/>
        <w:wordWrap/>
        <w:overflowPunct/>
        <w:topLinePunct w:val="0"/>
        <w:autoSpaceDE/>
        <w:autoSpaceDN/>
        <w:bidi w:val="0"/>
        <w:adjustRightInd/>
        <w:snapToGrid/>
        <w:spacing w:line="600" w:lineRule="exact"/>
        <w:ind w:firstLine="800" w:firstLineChars="250"/>
        <w:textAlignment w:val="auto"/>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攀枝花市胜利水利工程运行中心</w:t>
      </w:r>
      <w:r>
        <w:rPr>
          <w:rFonts w:hint="eastAsia" w:ascii="仿宋_GB2312" w:hAnsi="仿宋_GB2312" w:eastAsia="仿宋_GB2312" w:cs="仿宋_GB2312"/>
          <w:color w:val="auto"/>
          <w:sz w:val="32"/>
          <w:szCs w:val="32"/>
          <w:highlight w:val="none"/>
          <w:lang w:eastAsia="zh-CN"/>
        </w:rPr>
        <w:t>无</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w:t>
      </w:r>
      <w:r>
        <w:rPr>
          <w:rFonts w:hint="eastAsia" w:eastAsia="仿宋_GB2312" w:cs="仿宋_GB2312"/>
          <w:color w:val="auto"/>
          <w:sz w:val="32"/>
          <w:szCs w:val="32"/>
          <w:highlight w:val="none"/>
          <w:lang w:eastAsia="zh-CN"/>
        </w:rPr>
        <w:t>算单位，</w:t>
      </w:r>
      <w:r>
        <w:rPr>
          <w:rFonts w:hint="default" w:ascii="Times New Roman" w:hAnsi="Times New Roman" w:eastAsia="仿宋_GB2312" w:cs="Times New Roman"/>
          <w:color w:val="auto"/>
          <w:sz w:val="32"/>
          <w:szCs w:val="32"/>
          <w:lang w:eastAsia="zh-CN"/>
        </w:rPr>
        <w:t>内</w:t>
      </w:r>
      <w:r>
        <w:rPr>
          <w:rFonts w:hint="default" w:ascii="Times New Roman" w:hAnsi="Times New Roman" w:eastAsia="仿宋_GB2312" w:cs="Times New Roman"/>
          <w:color w:val="auto"/>
          <w:sz w:val="32"/>
          <w:szCs w:val="32"/>
        </w:rPr>
        <w:t>设</w:t>
      </w:r>
      <w:r>
        <w:rPr>
          <w:rFonts w:hint="default" w:ascii="Times New Roman" w:hAnsi="Times New Roman" w:eastAsia="仿宋_GB2312" w:cs="Times New Roman"/>
          <w:color w:val="auto"/>
          <w:sz w:val="32"/>
          <w:szCs w:val="32"/>
          <w:lang w:eastAsia="zh-CN"/>
        </w:rPr>
        <w:t>机构</w:t>
      </w:r>
      <w:r>
        <w:rPr>
          <w:rFonts w:hint="default" w:ascii="Times New Roman" w:hAnsi="Times New Roman" w:eastAsia="仿宋_GB2312" w:cs="Times New Roman"/>
          <w:color w:val="auto"/>
          <w:sz w:val="32"/>
          <w:szCs w:val="32"/>
        </w:rPr>
        <w:t>4个</w:t>
      </w:r>
      <w:r>
        <w:rPr>
          <w:rFonts w:hint="default" w:ascii="Times New Roman" w:hAnsi="Times New Roman" w:eastAsia="仿宋_GB2312" w:cs="Times New Roman"/>
          <w:color w:val="auto"/>
          <w:sz w:val="32"/>
          <w:szCs w:val="32"/>
          <w:lang w:eastAsia="zh-CN"/>
        </w:rPr>
        <w:t>，分别为</w:t>
      </w:r>
      <w:r>
        <w:rPr>
          <w:rFonts w:hint="default" w:ascii="Times New Roman" w:hAnsi="Times New Roman" w:eastAsia="仿宋_GB2312" w:cs="Times New Roman"/>
          <w:color w:val="auto"/>
          <w:sz w:val="32"/>
          <w:szCs w:val="32"/>
        </w:rPr>
        <w:t>：办公室、胜利管理科、沙坝田管理科、综合计划科</w:t>
      </w:r>
      <w:r>
        <w:rPr>
          <w:rFonts w:hint="eastAsia" w:ascii="Times New Roman" w:hAnsi="Times New Roman" w:eastAsia="仿宋_GB2312" w:cs="仿宋_GB2312"/>
          <w:color w:val="auto"/>
          <w:sz w:val="32"/>
          <w:szCs w:val="32"/>
          <w:highlight w:val="none"/>
        </w:rPr>
        <w:t>。</w:t>
      </w:r>
    </w:p>
    <w:p w14:paraId="5DE7ECF5">
      <w:pPr>
        <w:pageBreakBefore w:val="0"/>
        <w:widowControl/>
        <w:kinsoku/>
        <w:wordWrap/>
        <w:overflowPunct/>
        <w:topLinePunct w:val="0"/>
        <w:autoSpaceDE/>
        <w:autoSpaceDN/>
        <w:bidi w:val="0"/>
        <w:adjustRightInd/>
        <w:snapToGrid/>
        <w:spacing w:line="240" w:lineRule="auto"/>
        <w:jc w:val="left"/>
        <w:textAlignment w:val="auto"/>
        <w:rPr>
          <w:rFonts w:eastAsia="仿宋"/>
          <w:kern w:val="0"/>
          <w:sz w:val="32"/>
          <w:szCs w:val="32"/>
        </w:rPr>
      </w:pPr>
      <w:r>
        <w:rPr>
          <w:rFonts w:eastAsia="仿宋"/>
          <w:sz w:val="32"/>
          <w:szCs w:val="32"/>
        </w:rPr>
        <w:br w:type="page"/>
      </w:r>
    </w:p>
    <w:p w14:paraId="721D3B43">
      <w:pPr>
        <w:pStyle w:val="3"/>
        <w:jc w:val="center"/>
        <w:rPr>
          <w:rFonts w:eastAsia="方正小标宋简体" w:cs="方正小标宋简体"/>
          <w:b w:val="0"/>
        </w:rPr>
      </w:pPr>
      <w:bookmarkStart w:id="10" w:name="_Toc15396602"/>
      <w:bookmarkStart w:id="11" w:name="_Toc15377204"/>
      <w:r>
        <w:rPr>
          <w:rFonts w:hint="eastAsia" w:eastAsia="方正小标宋简体" w:cs="方正小标宋简体"/>
          <w:b w:val="0"/>
        </w:rPr>
        <w:t>第二部分  2025年度</w:t>
      </w:r>
      <w:r>
        <w:rPr>
          <w:rFonts w:hint="eastAsia" w:eastAsia="方正小标宋简体" w:cs="方正小标宋简体"/>
          <w:b w:val="0"/>
          <w:lang w:eastAsia="zh-CN"/>
        </w:rPr>
        <w:t>单位</w:t>
      </w:r>
      <w:r>
        <w:rPr>
          <w:rFonts w:hint="eastAsia" w:eastAsia="方正小标宋简体" w:cs="方正小标宋简体"/>
          <w:b w:val="0"/>
        </w:rPr>
        <w:t>决算情况说明</w:t>
      </w:r>
      <w:bookmarkEnd w:id="10"/>
      <w:bookmarkEnd w:id="11"/>
    </w:p>
    <w:p w14:paraId="1C24FB74"/>
    <w:p w14:paraId="5FFFD007">
      <w:pPr>
        <w:pStyle w:val="27"/>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1"/>
        <w:rPr>
          <w:rStyle w:val="29"/>
          <w:rFonts w:ascii="Times New Roman" w:hAnsi="Times New Roman" w:eastAsia="黑体"/>
          <w:b w:val="0"/>
        </w:rPr>
      </w:pPr>
      <w:bookmarkStart w:id="12" w:name="_Toc15396603"/>
      <w:bookmarkStart w:id="13" w:name="_Toc15377205"/>
      <w:r>
        <w:rPr>
          <w:rFonts w:hint="eastAsia" w:eastAsia="黑体"/>
          <w:sz w:val="32"/>
          <w:szCs w:val="32"/>
        </w:rPr>
        <w:t>一、收</w:t>
      </w:r>
      <w:r>
        <w:rPr>
          <w:rStyle w:val="29"/>
          <w:rFonts w:hint="eastAsia" w:ascii="Times New Roman" w:hAnsi="Times New Roman" w:eastAsia="黑体"/>
          <w:b w:val="0"/>
        </w:rPr>
        <w:t>入支出决算总体情况说明</w:t>
      </w:r>
      <w:bookmarkEnd w:id="12"/>
      <w:bookmarkEnd w:id="13"/>
    </w:p>
    <w:p w14:paraId="08D87B3F">
      <w:pPr>
        <w:pStyle w:val="27"/>
        <w:spacing w:line="600" w:lineRule="exact"/>
        <w:ind w:firstLine="640"/>
        <w:outlineLvl w:val="1"/>
        <w:rPr>
          <w:rFonts w:eastAsia="仿宋_GB2312" w:cs="仿宋_GB2312"/>
          <w:sz w:val="32"/>
          <w:szCs w:val="32"/>
        </w:rPr>
      </w:pPr>
      <w:r>
        <w:rPr>
          <w:rFonts w:hint="eastAsia" w:eastAsia="仿宋_GB2312" w:cs="仿宋_GB2312"/>
          <w:sz w:val="32"/>
          <w:szCs w:val="32"/>
        </w:rPr>
        <w:t>2025年度收入、支出总计均为</w:t>
      </w:r>
      <w:r>
        <w:rPr>
          <w:rFonts w:hint="eastAsia" w:eastAsia="仿宋_GB2312" w:cs="仿宋_GB2312"/>
          <w:sz w:val="32"/>
          <w:szCs w:val="32"/>
          <w:lang w:val="en-US" w:eastAsia="zh-CN"/>
        </w:rPr>
        <w:t>755.5</w:t>
      </w:r>
      <w:r>
        <w:rPr>
          <w:rFonts w:hint="eastAsia" w:eastAsia="仿宋_GB2312" w:cs="仿宋_GB2312"/>
          <w:sz w:val="32"/>
          <w:szCs w:val="32"/>
        </w:rPr>
        <w:t>万元。与上年度相比，收入、支出总计各减少</w:t>
      </w:r>
      <w:r>
        <w:rPr>
          <w:rFonts w:hint="eastAsia" w:eastAsia="仿宋_GB2312" w:cs="仿宋_GB2312"/>
          <w:sz w:val="32"/>
          <w:szCs w:val="32"/>
          <w:lang w:val="en-US" w:eastAsia="zh-CN"/>
        </w:rPr>
        <w:t>6200.52</w:t>
      </w:r>
      <w:r>
        <w:rPr>
          <w:rFonts w:hint="eastAsia" w:eastAsia="仿宋_GB2312" w:cs="仿宋_GB2312"/>
          <w:sz w:val="32"/>
          <w:szCs w:val="32"/>
        </w:rPr>
        <w:t>万元，下降</w:t>
      </w:r>
      <w:r>
        <w:rPr>
          <w:rFonts w:hint="eastAsia" w:eastAsia="仿宋_GB2312" w:cs="仿宋_GB2312"/>
          <w:sz w:val="32"/>
          <w:szCs w:val="32"/>
          <w:lang w:val="en-US" w:eastAsia="zh-CN"/>
        </w:rPr>
        <w:t>89.1</w:t>
      </w:r>
      <w:r>
        <w:rPr>
          <w:rFonts w:hint="eastAsia" w:eastAsia="仿宋_GB2312" w:cs="仿宋_GB2312"/>
          <w:sz w:val="32"/>
          <w:szCs w:val="32"/>
        </w:rPr>
        <w:t>%。主要变动原因是</w:t>
      </w:r>
      <w:r>
        <w:rPr>
          <w:rFonts w:hint="default" w:ascii="Times New Roman" w:hAnsi="Times New Roman" w:eastAsia="仿宋_GB2312" w:cs="Times New Roman"/>
          <w:color w:val="auto"/>
          <w:sz w:val="32"/>
          <w:szCs w:val="32"/>
          <w:highlight w:val="none"/>
        </w:rPr>
        <w:t>胜利水库安全鉴定成果于2020年经水利部大坝安全管理中心核查，鉴定为“三类坝”，属于病险水库，需消除安全隐患，对大坝进行除险加固。2023年成功申报国债项目，2024年下达国债资金6300万元用于胜利水库除险加固项目</w:t>
      </w:r>
      <w:r>
        <w:rPr>
          <w:rFonts w:hint="eastAsia" w:ascii="Times New Roman" w:hAnsi="Times New Roman" w:eastAsia="仿宋_GB2312" w:cs="Times New Roman"/>
          <w:color w:val="auto"/>
          <w:sz w:val="32"/>
          <w:szCs w:val="32"/>
          <w:highlight w:val="none"/>
          <w:lang w:eastAsia="zh-CN"/>
        </w:rPr>
        <w:t>，故</w:t>
      </w:r>
      <w:r>
        <w:rPr>
          <w:rFonts w:hint="eastAsia" w:ascii="Times New Roman" w:hAnsi="Times New Roman" w:eastAsia="仿宋_GB2312" w:cs="Times New Roman"/>
          <w:color w:val="auto"/>
          <w:sz w:val="32"/>
          <w:szCs w:val="32"/>
          <w:highlight w:val="none"/>
          <w:lang w:val="en-US" w:eastAsia="zh-CN"/>
        </w:rPr>
        <w:t>2025年收入、支出与2024年相比差距大。</w:t>
      </w:r>
    </w:p>
    <w:p w14:paraId="02A9E526">
      <w:pPr>
        <w:ind w:firstLine="420" w:firstLineChars="200"/>
        <w:rPr>
          <w:rFonts w:eastAsia="仿宋_GB2312" w:cs="仿宋_GB2312"/>
          <w:sz w:val="32"/>
          <w:szCs w:val="32"/>
        </w:rPr>
      </w:pPr>
      <w:r>
        <w:drawing>
          <wp:inline distT="0" distB="0" distL="114300" distR="114300">
            <wp:extent cx="4381500" cy="2396490"/>
            <wp:effectExtent l="4445" t="4445" r="14605" b="18415"/>
            <wp:docPr id="104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E425C8D">
      <w:pPr>
        <w:pStyle w:val="27"/>
        <w:spacing w:line="600" w:lineRule="exact"/>
        <w:ind w:firstLine="640"/>
        <w:outlineLvl w:val="1"/>
        <w:rPr>
          <w:rFonts w:eastAsia="黑体"/>
          <w:sz w:val="32"/>
          <w:szCs w:val="32"/>
        </w:rPr>
      </w:pPr>
      <w:bookmarkStart w:id="14" w:name="_Toc15396604"/>
      <w:bookmarkStart w:id="15" w:name="_Toc15377206"/>
      <w:r>
        <w:rPr>
          <w:rFonts w:hint="eastAsia" w:eastAsia="黑体"/>
          <w:sz w:val="32"/>
          <w:szCs w:val="32"/>
        </w:rPr>
        <w:t>二、收入决算情况说明</w:t>
      </w:r>
      <w:bookmarkEnd w:id="14"/>
      <w:bookmarkEnd w:id="15"/>
    </w:p>
    <w:p w14:paraId="78D2A080">
      <w:pPr>
        <w:pStyle w:val="27"/>
        <w:spacing w:line="600" w:lineRule="exact"/>
        <w:ind w:firstLine="640"/>
        <w:outlineLvl w:val="1"/>
        <w:rPr>
          <w:rFonts w:eastAsia="仿宋_GB2312" w:cs="仿宋_GB2312"/>
          <w:sz w:val="32"/>
          <w:szCs w:val="32"/>
        </w:rPr>
      </w:pPr>
      <w:r>
        <w:rPr>
          <w:rFonts w:hint="eastAsia" w:eastAsia="仿宋_GB2312" w:cs="仿宋_GB2312"/>
          <w:sz w:val="32"/>
          <w:szCs w:val="32"/>
        </w:rPr>
        <w:t>2025年度本年收入合计</w:t>
      </w:r>
      <w:r>
        <w:rPr>
          <w:rFonts w:hint="eastAsia" w:eastAsia="仿宋_GB2312" w:cs="仿宋_GB2312"/>
          <w:sz w:val="32"/>
          <w:szCs w:val="32"/>
          <w:lang w:val="en-US" w:eastAsia="zh-CN"/>
        </w:rPr>
        <w:t>755.5</w:t>
      </w:r>
      <w:r>
        <w:rPr>
          <w:rFonts w:hint="eastAsia" w:eastAsia="仿宋_GB2312" w:cs="仿宋_GB2312"/>
          <w:sz w:val="32"/>
          <w:szCs w:val="32"/>
        </w:rPr>
        <w:t>万元，其中：一般公共预算财政拨款收入</w:t>
      </w:r>
      <w:r>
        <w:rPr>
          <w:rFonts w:hint="eastAsia" w:eastAsia="仿宋_GB2312" w:cs="仿宋_GB2312"/>
          <w:sz w:val="32"/>
          <w:szCs w:val="32"/>
          <w:lang w:val="en-US" w:eastAsia="zh-CN"/>
        </w:rPr>
        <w:t>725.54</w:t>
      </w:r>
      <w:r>
        <w:rPr>
          <w:rFonts w:hint="eastAsia" w:eastAsia="仿宋_GB2312" w:cs="仿宋_GB2312"/>
          <w:sz w:val="32"/>
          <w:szCs w:val="32"/>
        </w:rPr>
        <w:t>万元，占</w:t>
      </w:r>
      <w:r>
        <w:rPr>
          <w:rFonts w:hint="eastAsia" w:eastAsia="仿宋_GB2312" w:cs="仿宋_GB2312"/>
          <w:sz w:val="32"/>
          <w:szCs w:val="32"/>
          <w:lang w:val="en-US" w:eastAsia="zh-CN"/>
        </w:rPr>
        <w:t>96</w:t>
      </w:r>
      <w:r>
        <w:rPr>
          <w:rFonts w:hint="eastAsia" w:eastAsia="仿宋_GB2312" w:cs="仿宋_GB2312"/>
          <w:sz w:val="32"/>
          <w:szCs w:val="32"/>
        </w:rPr>
        <w:t>%；政府性基金预算财政拨款收入</w:t>
      </w:r>
      <w:r>
        <w:rPr>
          <w:rFonts w:hint="eastAsia" w:eastAsia="仿宋_GB2312" w:cs="仿宋_GB2312"/>
          <w:sz w:val="32"/>
          <w:szCs w:val="32"/>
          <w:lang w:val="en-US" w:eastAsia="zh-CN"/>
        </w:rPr>
        <w:t>29.96</w:t>
      </w:r>
      <w:r>
        <w:rPr>
          <w:rFonts w:hint="eastAsia" w:eastAsia="仿宋_GB2312" w:cs="仿宋_GB2312"/>
          <w:sz w:val="32"/>
          <w:szCs w:val="32"/>
        </w:rPr>
        <w:t>万元，占</w:t>
      </w:r>
      <w:r>
        <w:rPr>
          <w:rFonts w:hint="eastAsia" w:eastAsia="仿宋_GB2312" w:cs="仿宋_GB2312"/>
          <w:sz w:val="32"/>
          <w:szCs w:val="32"/>
          <w:lang w:val="en-US" w:eastAsia="zh-CN"/>
        </w:rPr>
        <w:t>4</w:t>
      </w:r>
      <w:r>
        <w:rPr>
          <w:rFonts w:hint="eastAsia" w:eastAsia="仿宋_GB2312" w:cs="仿宋_GB2312"/>
          <w:sz w:val="32"/>
          <w:szCs w:val="32"/>
        </w:rPr>
        <w:t>%；国有资本经营预算财政拨款收入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%；上级补助收入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%；事业收入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%；经营收入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%；附属单位上缴收入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%；其他收入</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w:t>
      </w:r>
    </w:p>
    <w:p w14:paraId="404872A3">
      <w:pPr>
        <w:ind w:firstLine="525" w:firstLineChars="250"/>
        <w:rPr>
          <w:rFonts w:eastAsia="仿宋_GB2312" w:cs="仿宋_GB2312"/>
          <w:sz w:val="32"/>
          <w:szCs w:val="32"/>
        </w:rPr>
      </w:pPr>
      <w:r>
        <w:drawing>
          <wp:inline distT="0" distB="0" distL="114300" distR="114300">
            <wp:extent cx="4356100" cy="2569845"/>
            <wp:effectExtent l="4445" t="4445" r="20955" b="16510"/>
            <wp:docPr id="207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194EFC4">
      <w:pPr>
        <w:pStyle w:val="27"/>
        <w:spacing w:line="600" w:lineRule="exact"/>
        <w:ind w:firstLine="640"/>
        <w:outlineLvl w:val="1"/>
        <w:rPr>
          <w:rStyle w:val="29"/>
          <w:rFonts w:ascii="Times New Roman" w:hAnsi="Times New Roman" w:eastAsia="黑体"/>
          <w:b w:val="0"/>
        </w:rPr>
      </w:pPr>
      <w:bookmarkStart w:id="16" w:name="_Toc15377207"/>
      <w:bookmarkStart w:id="17" w:name="_Toc15396605"/>
      <w:r>
        <w:rPr>
          <w:rFonts w:hint="eastAsia" w:eastAsia="黑体"/>
          <w:sz w:val="32"/>
          <w:szCs w:val="32"/>
        </w:rPr>
        <w:t>三、支</w:t>
      </w:r>
      <w:r>
        <w:rPr>
          <w:rStyle w:val="29"/>
          <w:rFonts w:hint="eastAsia" w:ascii="Times New Roman" w:hAnsi="Times New Roman" w:eastAsia="黑体"/>
          <w:b w:val="0"/>
        </w:rPr>
        <w:t>出决算情况说明</w:t>
      </w:r>
      <w:bookmarkEnd w:id="16"/>
      <w:bookmarkEnd w:id="17"/>
    </w:p>
    <w:p w14:paraId="1D8B7C68">
      <w:pPr>
        <w:pStyle w:val="27"/>
        <w:spacing w:line="600" w:lineRule="exact"/>
        <w:ind w:firstLine="640"/>
        <w:outlineLvl w:val="1"/>
        <w:rPr>
          <w:rFonts w:eastAsia="仿宋_GB2312" w:cs="仿宋_GB2312"/>
          <w:sz w:val="32"/>
          <w:szCs w:val="32"/>
        </w:rPr>
      </w:pPr>
      <w:r>
        <w:rPr>
          <w:rFonts w:hint="eastAsia" w:eastAsia="仿宋_GB2312" w:cs="仿宋_GB2312"/>
          <w:sz w:val="32"/>
          <w:szCs w:val="32"/>
        </w:rPr>
        <w:t>2025年度本年支出合计</w:t>
      </w:r>
      <w:r>
        <w:rPr>
          <w:rFonts w:hint="eastAsia" w:eastAsia="仿宋_GB2312" w:cs="仿宋_GB2312"/>
          <w:sz w:val="32"/>
          <w:szCs w:val="32"/>
          <w:lang w:val="en-US" w:eastAsia="zh-CN"/>
        </w:rPr>
        <w:t>755.5</w:t>
      </w:r>
      <w:r>
        <w:rPr>
          <w:rFonts w:hint="eastAsia" w:eastAsia="仿宋_GB2312" w:cs="仿宋_GB2312"/>
          <w:sz w:val="32"/>
          <w:szCs w:val="32"/>
        </w:rPr>
        <w:t>万元，其中：基本支出</w:t>
      </w:r>
      <w:r>
        <w:rPr>
          <w:rFonts w:hint="eastAsia" w:eastAsia="仿宋_GB2312" w:cs="仿宋_GB2312"/>
          <w:sz w:val="32"/>
          <w:szCs w:val="32"/>
          <w:lang w:val="en-US" w:eastAsia="zh-CN"/>
        </w:rPr>
        <w:t>548.09</w:t>
      </w:r>
      <w:r>
        <w:rPr>
          <w:rFonts w:hint="eastAsia" w:eastAsia="仿宋_GB2312" w:cs="仿宋_GB2312"/>
          <w:sz w:val="32"/>
          <w:szCs w:val="32"/>
        </w:rPr>
        <w:t>万元，占</w:t>
      </w:r>
      <w:r>
        <w:rPr>
          <w:rFonts w:hint="eastAsia" w:eastAsia="仿宋_GB2312" w:cs="仿宋_GB2312"/>
          <w:sz w:val="32"/>
          <w:szCs w:val="32"/>
          <w:lang w:val="en-US" w:eastAsia="zh-CN"/>
        </w:rPr>
        <w:t>72.55</w:t>
      </w:r>
      <w:r>
        <w:rPr>
          <w:rFonts w:hint="eastAsia" w:eastAsia="仿宋_GB2312" w:cs="仿宋_GB2312"/>
          <w:sz w:val="32"/>
          <w:szCs w:val="32"/>
        </w:rPr>
        <w:t>%；项目支出</w:t>
      </w:r>
      <w:r>
        <w:rPr>
          <w:rFonts w:hint="eastAsia" w:eastAsia="仿宋_GB2312" w:cs="仿宋_GB2312"/>
          <w:sz w:val="32"/>
          <w:szCs w:val="32"/>
          <w:lang w:val="en-US" w:eastAsia="zh-CN"/>
        </w:rPr>
        <w:t>207.41</w:t>
      </w:r>
      <w:r>
        <w:rPr>
          <w:rFonts w:hint="eastAsia" w:eastAsia="仿宋_GB2312" w:cs="仿宋_GB2312"/>
          <w:sz w:val="32"/>
          <w:szCs w:val="32"/>
        </w:rPr>
        <w:t>万元，占</w:t>
      </w:r>
      <w:r>
        <w:rPr>
          <w:rFonts w:hint="eastAsia" w:eastAsia="仿宋_GB2312" w:cs="仿宋_GB2312"/>
          <w:sz w:val="32"/>
          <w:szCs w:val="32"/>
          <w:lang w:val="en-US" w:eastAsia="zh-CN"/>
        </w:rPr>
        <w:t>27.45</w:t>
      </w:r>
      <w:r>
        <w:rPr>
          <w:rFonts w:hint="eastAsia" w:eastAsia="仿宋_GB2312" w:cs="仿宋_GB2312"/>
          <w:sz w:val="32"/>
          <w:szCs w:val="32"/>
        </w:rPr>
        <w:t>%；上缴上级支出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%；经营支出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%；对附属单位补助支出</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w:t>
      </w:r>
    </w:p>
    <w:p w14:paraId="2FCEF8A9">
      <w:pPr>
        <w:ind w:firstLine="525" w:firstLineChars="250"/>
        <w:rPr>
          <w:rFonts w:eastAsia="仿宋_GB2312" w:cs="仿宋_GB2312"/>
          <w:sz w:val="32"/>
          <w:szCs w:val="32"/>
        </w:rPr>
      </w:pPr>
      <w:r>
        <w:drawing>
          <wp:inline distT="0" distB="0" distL="114300" distR="114300">
            <wp:extent cx="4295775" cy="2483485"/>
            <wp:effectExtent l="4445" t="4445" r="5080" b="7620"/>
            <wp:docPr id="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99229B3">
      <w:pPr>
        <w:spacing w:line="600" w:lineRule="exact"/>
        <w:ind w:firstLine="640" w:firstLineChars="200"/>
        <w:outlineLvl w:val="1"/>
        <w:rPr>
          <w:rStyle w:val="29"/>
          <w:rFonts w:ascii="Times New Roman" w:hAnsi="Times New Roman" w:eastAsia="黑体"/>
          <w:b w:val="0"/>
        </w:rPr>
      </w:pPr>
      <w:bookmarkStart w:id="18" w:name="_Toc15377208"/>
      <w:bookmarkStart w:id="19"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18"/>
      <w:bookmarkEnd w:id="19"/>
    </w:p>
    <w:p w14:paraId="6078972C">
      <w:pPr>
        <w:spacing w:line="600" w:lineRule="exact"/>
        <w:ind w:firstLine="640"/>
        <w:rPr>
          <w:rFonts w:eastAsia="仿宋_GB2312" w:cs="仿宋_GB2312"/>
          <w:sz w:val="32"/>
          <w:szCs w:val="32"/>
        </w:rPr>
      </w:pPr>
      <w:r>
        <w:rPr>
          <w:rFonts w:hint="eastAsia" w:eastAsia="仿宋_GB2312" w:cs="仿宋_GB2312"/>
          <w:sz w:val="32"/>
          <w:szCs w:val="32"/>
        </w:rPr>
        <w:t>2025年度财政拨款收入、支出总计均为</w:t>
      </w:r>
      <w:r>
        <w:rPr>
          <w:rFonts w:hint="eastAsia" w:eastAsia="仿宋_GB2312" w:cs="仿宋_GB2312"/>
          <w:sz w:val="32"/>
          <w:szCs w:val="32"/>
          <w:lang w:val="en-US" w:eastAsia="zh-CN"/>
        </w:rPr>
        <w:t>755.5</w:t>
      </w:r>
      <w:r>
        <w:rPr>
          <w:rFonts w:hint="eastAsia" w:eastAsia="仿宋_GB2312" w:cs="仿宋_GB2312"/>
          <w:sz w:val="32"/>
          <w:szCs w:val="32"/>
        </w:rPr>
        <w:t>万元。与上年度相比，财政拨款收入、支出总计减少</w:t>
      </w:r>
      <w:r>
        <w:rPr>
          <w:rFonts w:hint="eastAsia" w:eastAsia="仿宋_GB2312" w:cs="仿宋_GB2312"/>
          <w:sz w:val="32"/>
          <w:szCs w:val="32"/>
          <w:lang w:val="en-US" w:eastAsia="zh-CN"/>
        </w:rPr>
        <w:t>6200.52</w:t>
      </w:r>
      <w:r>
        <w:rPr>
          <w:rFonts w:hint="eastAsia" w:eastAsia="仿宋_GB2312" w:cs="仿宋_GB2312"/>
          <w:sz w:val="32"/>
          <w:szCs w:val="32"/>
        </w:rPr>
        <w:t>万元，下降</w:t>
      </w:r>
      <w:r>
        <w:rPr>
          <w:rFonts w:hint="eastAsia" w:eastAsia="仿宋_GB2312" w:cs="仿宋_GB2312"/>
          <w:sz w:val="32"/>
          <w:szCs w:val="32"/>
          <w:lang w:val="en-US" w:eastAsia="zh-CN"/>
        </w:rPr>
        <w:t>89.1</w:t>
      </w:r>
      <w:r>
        <w:rPr>
          <w:rFonts w:hint="eastAsia" w:eastAsia="仿宋_GB2312" w:cs="仿宋_GB2312"/>
          <w:sz w:val="32"/>
          <w:szCs w:val="32"/>
        </w:rPr>
        <w:t>%。主要变动原因是</w:t>
      </w:r>
      <w:r>
        <w:rPr>
          <w:rFonts w:hint="default" w:ascii="Times New Roman" w:hAnsi="Times New Roman" w:eastAsia="仿宋_GB2312" w:cs="Times New Roman"/>
          <w:color w:val="auto"/>
          <w:sz w:val="32"/>
          <w:szCs w:val="32"/>
          <w:highlight w:val="none"/>
        </w:rPr>
        <w:t>胜利水库安全鉴定成果于2020年经水利部大坝安全管理中心核查，鉴定为“三类坝”，属于病险水库，需消除安全隐患，对大坝进行除险加固。2023年成功申报国债项目，2024年下达国债资金6300万元用于胜利水库除险加固项目</w:t>
      </w:r>
      <w:r>
        <w:rPr>
          <w:rFonts w:hint="eastAsia" w:ascii="Times New Roman" w:hAnsi="Times New Roman" w:eastAsia="仿宋_GB2312" w:cs="Times New Roman"/>
          <w:color w:val="auto"/>
          <w:sz w:val="32"/>
          <w:szCs w:val="32"/>
          <w:highlight w:val="none"/>
          <w:lang w:eastAsia="zh-CN"/>
        </w:rPr>
        <w:t>，故</w:t>
      </w:r>
      <w:r>
        <w:rPr>
          <w:rFonts w:hint="eastAsia" w:ascii="Times New Roman" w:hAnsi="Times New Roman" w:eastAsia="仿宋_GB2312" w:cs="Times New Roman"/>
          <w:color w:val="auto"/>
          <w:sz w:val="32"/>
          <w:szCs w:val="32"/>
          <w:highlight w:val="none"/>
          <w:lang w:val="en-US" w:eastAsia="zh-CN"/>
        </w:rPr>
        <w:t>2025年收入、支出与2024年相比差距大。</w:t>
      </w:r>
    </w:p>
    <w:p w14:paraId="4A896FCD">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eastAsia="仿宋_GB2312" w:cs="仿宋_GB2312"/>
          <w:sz w:val="32"/>
          <w:szCs w:val="32"/>
        </w:rPr>
      </w:pPr>
      <w:r>
        <w:drawing>
          <wp:inline distT="0" distB="0" distL="114300" distR="114300">
            <wp:extent cx="4347210" cy="2379980"/>
            <wp:effectExtent l="4445" t="4445" r="10795" b="15875"/>
            <wp:docPr id="41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61263B1">
      <w:pPr>
        <w:spacing w:line="600" w:lineRule="exact"/>
        <w:ind w:firstLine="640" w:firstLineChars="200"/>
        <w:outlineLvl w:val="1"/>
        <w:rPr>
          <w:rStyle w:val="29"/>
          <w:rFonts w:ascii="Times New Roman" w:hAnsi="Times New Roman" w:eastAsia="黑体"/>
          <w:b w:val="0"/>
        </w:rPr>
      </w:pPr>
      <w:bookmarkStart w:id="20" w:name="_Toc15377209"/>
      <w:bookmarkStart w:id="21" w:name="_Toc15396607"/>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0"/>
      <w:bookmarkEnd w:id="21"/>
    </w:p>
    <w:p w14:paraId="5AC2971F">
      <w:pPr>
        <w:spacing w:line="600" w:lineRule="exact"/>
        <w:ind w:firstLine="643" w:firstLineChars="200"/>
        <w:outlineLvl w:val="2"/>
        <w:rPr>
          <w:rFonts w:eastAsia="楷体_GB2312" w:cs="楷体_GB2312"/>
          <w:b/>
          <w:sz w:val="32"/>
          <w:szCs w:val="32"/>
        </w:rPr>
      </w:pPr>
      <w:bookmarkStart w:id="22" w:name="_Toc15377210"/>
      <w:r>
        <w:rPr>
          <w:rFonts w:hint="eastAsia" w:eastAsia="楷体_GB2312" w:cs="楷体_GB2312"/>
          <w:b/>
          <w:sz w:val="32"/>
          <w:szCs w:val="32"/>
        </w:rPr>
        <w:t>（一）一般公共预算财政拨款支出决算总体情况</w:t>
      </w:r>
      <w:bookmarkEnd w:id="22"/>
    </w:p>
    <w:p w14:paraId="3FCC036C">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725.54</w:t>
      </w:r>
      <w:r>
        <w:rPr>
          <w:rFonts w:hint="eastAsia" w:eastAsia="仿宋_GB2312" w:cs="仿宋_GB2312"/>
          <w:sz w:val="32"/>
          <w:szCs w:val="32"/>
        </w:rPr>
        <w:t>万元，占本年支出合计的</w:t>
      </w:r>
      <w:r>
        <w:rPr>
          <w:rFonts w:hint="eastAsia" w:eastAsia="仿宋_GB2312" w:cs="仿宋_GB2312"/>
          <w:sz w:val="32"/>
          <w:szCs w:val="32"/>
          <w:lang w:val="en-US" w:eastAsia="zh-CN"/>
        </w:rPr>
        <w:t>96</w:t>
      </w:r>
      <w:r>
        <w:rPr>
          <w:rFonts w:hint="eastAsia" w:eastAsia="仿宋_GB2312" w:cs="仿宋_GB2312"/>
          <w:sz w:val="32"/>
          <w:szCs w:val="32"/>
        </w:rPr>
        <w:t>%。与上年度相比，一般公共预算财政拨款支出减少</w:t>
      </w:r>
      <w:r>
        <w:rPr>
          <w:rFonts w:hint="eastAsia" w:eastAsia="仿宋_GB2312" w:cs="仿宋_GB2312"/>
          <w:sz w:val="32"/>
          <w:szCs w:val="32"/>
          <w:lang w:val="en-US" w:eastAsia="zh-CN"/>
        </w:rPr>
        <w:t>6172.13</w:t>
      </w:r>
      <w:r>
        <w:rPr>
          <w:rFonts w:hint="eastAsia" w:eastAsia="仿宋_GB2312" w:cs="仿宋_GB2312"/>
          <w:sz w:val="32"/>
          <w:szCs w:val="32"/>
        </w:rPr>
        <w:t>万元，下降</w:t>
      </w:r>
      <w:r>
        <w:rPr>
          <w:rFonts w:hint="eastAsia" w:eastAsia="仿宋_GB2312" w:cs="仿宋_GB2312"/>
          <w:sz w:val="32"/>
          <w:szCs w:val="32"/>
          <w:lang w:val="en-US" w:eastAsia="zh-CN"/>
        </w:rPr>
        <w:t>89.5</w:t>
      </w:r>
      <w:r>
        <w:rPr>
          <w:rFonts w:hint="eastAsia" w:eastAsia="仿宋_GB2312" w:cs="仿宋_GB2312"/>
          <w:sz w:val="32"/>
          <w:szCs w:val="32"/>
        </w:rPr>
        <w:t>%。主要变动原因是</w:t>
      </w:r>
      <w:r>
        <w:rPr>
          <w:rFonts w:hint="eastAsia" w:eastAsia="仿宋_GB2312" w:cs="仿宋_GB2312"/>
          <w:sz w:val="32"/>
          <w:szCs w:val="32"/>
          <w:lang w:val="en-US" w:eastAsia="zh-CN"/>
        </w:rPr>
        <w:t>2024年胜利水库除险加固项目资金属于</w:t>
      </w:r>
      <w:r>
        <w:rPr>
          <w:rFonts w:hint="eastAsia" w:eastAsia="仿宋_GB2312" w:cs="仿宋_GB2312"/>
          <w:sz w:val="32"/>
          <w:szCs w:val="32"/>
        </w:rPr>
        <w:t>一般公共预算财政拨款</w:t>
      </w:r>
      <w:r>
        <w:rPr>
          <w:rFonts w:hint="eastAsia" w:eastAsia="仿宋_GB2312" w:cs="仿宋_GB2312"/>
          <w:sz w:val="32"/>
          <w:szCs w:val="32"/>
          <w:lang w:eastAsia="zh-CN"/>
        </w:rPr>
        <w:t>，</w:t>
      </w:r>
      <w:r>
        <w:rPr>
          <w:rFonts w:hint="eastAsia" w:eastAsia="仿宋_GB2312" w:cs="仿宋_GB2312"/>
          <w:sz w:val="32"/>
          <w:szCs w:val="32"/>
          <w:lang w:val="en-US" w:eastAsia="zh-CN"/>
        </w:rPr>
        <w:t>2024年已全额支付，2025年无相关基本建设类的支出，所以2025年的一般公共预算财政拨款支出与2024年相比差距较大。</w:t>
      </w:r>
    </w:p>
    <w:p w14:paraId="5B32B7CB">
      <w:pPr>
        <w:keepNext w:val="0"/>
        <w:keepLines w:val="0"/>
        <w:pageBreakBefore w:val="0"/>
        <w:widowControl w:val="0"/>
        <w:kinsoku/>
        <w:wordWrap/>
        <w:overflowPunct/>
        <w:topLinePunct w:val="0"/>
        <w:autoSpaceDE/>
        <w:autoSpaceDN/>
        <w:bidi w:val="0"/>
        <w:adjustRightInd/>
        <w:snapToGrid/>
        <w:spacing w:line="240" w:lineRule="auto"/>
        <w:textAlignment w:val="auto"/>
        <w:rPr>
          <w:rFonts w:eastAsia="仿宋_GB2312" w:cs="仿宋_GB2312"/>
          <w:sz w:val="32"/>
          <w:szCs w:val="32"/>
        </w:rPr>
      </w:pPr>
      <w:r>
        <w:drawing>
          <wp:inline distT="0" distB="0" distL="114300" distR="114300">
            <wp:extent cx="4226560" cy="2216150"/>
            <wp:effectExtent l="4445" t="4445" r="17145" b="8255"/>
            <wp:docPr id="513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7D19E02">
      <w:pPr>
        <w:spacing w:line="600" w:lineRule="exact"/>
        <w:ind w:firstLine="643" w:firstLineChars="200"/>
        <w:outlineLvl w:val="2"/>
        <w:rPr>
          <w:rFonts w:eastAsia="楷体_GB2312" w:cs="楷体_GB2312"/>
          <w:b/>
          <w:sz w:val="32"/>
          <w:szCs w:val="32"/>
        </w:rPr>
      </w:pPr>
      <w:bookmarkStart w:id="23" w:name="_Toc15377211"/>
      <w:r>
        <w:rPr>
          <w:rFonts w:hint="eastAsia" w:eastAsia="楷体_GB2312" w:cs="楷体_GB2312"/>
          <w:b/>
          <w:sz w:val="32"/>
          <w:szCs w:val="32"/>
        </w:rPr>
        <w:t>（二）一般公共预算财政拨款支出决算结构情况</w:t>
      </w:r>
      <w:bookmarkEnd w:id="23"/>
    </w:p>
    <w:p w14:paraId="031094F7">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2025年度一般公共预算财政拨款支出</w:t>
      </w:r>
      <w:r>
        <w:rPr>
          <w:rFonts w:hint="eastAsia" w:eastAsia="仿宋_GB2312" w:cs="仿宋_GB2312"/>
          <w:sz w:val="32"/>
          <w:szCs w:val="32"/>
          <w:lang w:val="en-US" w:eastAsia="zh-CN"/>
        </w:rPr>
        <w:t>725.54</w:t>
      </w:r>
      <w:r>
        <w:rPr>
          <w:rFonts w:hint="eastAsia" w:eastAsia="仿宋_GB2312" w:cs="仿宋_GB2312"/>
          <w:sz w:val="32"/>
          <w:szCs w:val="32"/>
        </w:rPr>
        <w:t>万元，主要用于以下方面：一般公共服务支出</w:t>
      </w:r>
      <w:r>
        <w:rPr>
          <w:rFonts w:hint="eastAsia" w:eastAsia="仿宋_GB2312" w:cs="仿宋_GB2312"/>
          <w:sz w:val="32"/>
          <w:szCs w:val="32"/>
          <w:lang w:val="en-US" w:eastAsia="zh-CN"/>
        </w:rPr>
        <w:t>2.45</w:t>
      </w:r>
      <w:r>
        <w:rPr>
          <w:rFonts w:hint="eastAsia" w:eastAsia="仿宋_GB2312" w:cs="仿宋_GB2312"/>
          <w:sz w:val="32"/>
          <w:szCs w:val="32"/>
        </w:rPr>
        <w:t>万元，占</w:t>
      </w:r>
      <w:r>
        <w:rPr>
          <w:rFonts w:hint="eastAsia" w:eastAsia="仿宋_GB2312" w:cs="仿宋_GB2312"/>
          <w:sz w:val="32"/>
          <w:szCs w:val="32"/>
          <w:lang w:val="en-US" w:eastAsia="zh-CN"/>
        </w:rPr>
        <w:t>0.3</w:t>
      </w:r>
      <w:r>
        <w:rPr>
          <w:rFonts w:hint="eastAsia" w:eastAsia="仿宋_GB2312" w:cs="仿宋_GB2312"/>
          <w:sz w:val="32"/>
          <w:szCs w:val="32"/>
        </w:rPr>
        <w:t>%；</w:t>
      </w:r>
      <w:r>
        <w:rPr>
          <w:rFonts w:hint="eastAsia" w:eastAsia="仿宋_GB2312" w:cs="仿宋_GB2312"/>
          <w:sz w:val="32"/>
          <w:szCs w:val="32"/>
          <w:lang w:eastAsia="zh-CN"/>
        </w:rPr>
        <w:t>社会保障和就业</w:t>
      </w:r>
      <w:r>
        <w:rPr>
          <w:rFonts w:hint="eastAsia" w:eastAsia="仿宋_GB2312" w:cs="仿宋_GB2312"/>
          <w:sz w:val="32"/>
          <w:szCs w:val="32"/>
        </w:rPr>
        <w:t>支出</w:t>
      </w:r>
      <w:r>
        <w:rPr>
          <w:rFonts w:hint="eastAsia" w:eastAsia="仿宋_GB2312" w:cs="仿宋_GB2312"/>
          <w:sz w:val="32"/>
          <w:szCs w:val="32"/>
          <w:lang w:val="en-US" w:eastAsia="zh-CN"/>
        </w:rPr>
        <w:t>61.3</w:t>
      </w:r>
      <w:r>
        <w:rPr>
          <w:rFonts w:hint="eastAsia" w:eastAsia="仿宋_GB2312" w:cs="仿宋_GB2312"/>
          <w:sz w:val="32"/>
          <w:szCs w:val="32"/>
        </w:rPr>
        <w:t>万元，占</w:t>
      </w:r>
      <w:r>
        <w:rPr>
          <w:rFonts w:hint="eastAsia" w:eastAsia="仿宋_GB2312" w:cs="仿宋_GB2312"/>
          <w:sz w:val="32"/>
          <w:szCs w:val="32"/>
          <w:lang w:val="en-US" w:eastAsia="zh-CN"/>
        </w:rPr>
        <w:t>8.5</w:t>
      </w:r>
      <w:r>
        <w:rPr>
          <w:rFonts w:hint="eastAsia" w:eastAsia="仿宋_GB2312" w:cs="仿宋_GB2312"/>
          <w:sz w:val="32"/>
          <w:szCs w:val="32"/>
        </w:rPr>
        <w:t>%；</w:t>
      </w:r>
      <w:r>
        <w:rPr>
          <w:rFonts w:hint="eastAsia" w:eastAsia="仿宋_GB2312" w:cs="仿宋_GB2312"/>
          <w:sz w:val="32"/>
          <w:szCs w:val="32"/>
          <w:lang w:eastAsia="zh-CN"/>
        </w:rPr>
        <w:t>卫生健康</w:t>
      </w:r>
      <w:r>
        <w:rPr>
          <w:rFonts w:hint="eastAsia" w:eastAsia="仿宋_GB2312" w:cs="仿宋_GB2312"/>
          <w:sz w:val="32"/>
          <w:szCs w:val="32"/>
        </w:rPr>
        <w:t>支出</w:t>
      </w:r>
      <w:r>
        <w:rPr>
          <w:rFonts w:hint="eastAsia" w:eastAsia="仿宋_GB2312" w:cs="仿宋_GB2312"/>
          <w:sz w:val="32"/>
          <w:szCs w:val="32"/>
          <w:lang w:val="en-US" w:eastAsia="zh-CN"/>
        </w:rPr>
        <w:t>31.22</w:t>
      </w:r>
      <w:r>
        <w:rPr>
          <w:rFonts w:hint="eastAsia" w:eastAsia="仿宋_GB2312" w:cs="仿宋_GB2312"/>
          <w:sz w:val="32"/>
          <w:szCs w:val="32"/>
        </w:rPr>
        <w:t>万元，占</w:t>
      </w:r>
      <w:r>
        <w:rPr>
          <w:rFonts w:hint="eastAsia" w:eastAsia="仿宋_GB2312" w:cs="仿宋_GB2312"/>
          <w:sz w:val="32"/>
          <w:szCs w:val="32"/>
          <w:lang w:val="en-US" w:eastAsia="zh-CN"/>
        </w:rPr>
        <w:t>4.3</w:t>
      </w:r>
      <w:r>
        <w:rPr>
          <w:rFonts w:hint="eastAsia" w:eastAsia="仿宋_GB2312" w:cs="仿宋_GB2312"/>
          <w:sz w:val="32"/>
          <w:szCs w:val="32"/>
        </w:rPr>
        <w:t>%；</w:t>
      </w:r>
      <w:r>
        <w:rPr>
          <w:rFonts w:hint="eastAsia" w:eastAsia="仿宋_GB2312" w:cs="仿宋_GB2312"/>
          <w:sz w:val="32"/>
          <w:szCs w:val="32"/>
          <w:lang w:eastAsia="zh-CN"/>
        </w:rPr>
        <w:t>城乡社区</w:t>
      </w:r>
      <w:r>
        <w:rPr>
          <w:rFonts w:hint="eastAsia" w:eastAsia="仿宋_GB2312" w:cs="仿宋_GB2312"/>
          <w:sz w:val="32"/>
          <w:szCs w:val="32"/>
        </w:rPr>
        <w:t>支出</w:t>
      </w:r>
      <w:r>
        <w:rPr>
          <w:rFonts w:hint="eastAsia" w:eastAsia="仿宋_GB2312" w:cs="仿宋_GB2312"/>
          <w:sz w:val="32"/>
          <w:szCs w:val="32"/>
          <w:lang w:val="en-US" w:eastAsia="zh-CN"/>
        </w:rPr>
        <w:t>96.9</w:t>
      </w:r>
      <w:r>
        <w:rPr>
          <w:rFonts w:hint="eastAsia" w:eastAsia="仿宋_GB2312" w:cs="仿宋_GB2312"/>
          <w:sz w:val="32"/>
          <w:szCs w:val="32"/>
        </w:rPr>
        <w:t>万元，占</w:t>
      </w:r>
      <w:r>
        <w:rPr>
          <w:rFonts w:hint="eastAsia" w:eastAsia="仿宋_GB2312" w:cs="仿宋_GB2312"/>
          <w:sz w:val="32"/>
          <w:szCs w:val="32"/>
          <w:lang w:val="en-US" w:eastAsia="zh-CN"/>
        </w:rPr>
        <w:t>13.4</w:t>
      </w:r>
      <w:r>
        <w:rPr>
          <w:rFonts w:hint="eastAsia" w:eastAsia="仿宋_GB2312" w:cs="仿宋_GB2312"/>
          <w:sz w:val="32"/>
          <w:szCs w:val="32"/>
        </w:rPr>
        <w:t>%；</w:t>
      </w:r>
      <w:r>
        <w:rPr>
          <w:rFonts w:hint="eastAsia" w:eastAsia="仿宋_GB2312" w:cs="仿宋_GB2312"/>
          <w:sz w:val="32"/>
          <w:szCs w:val="32"/>
          <w:lang w:eastAsia="zh-CN"/>
        </w:rPr>
        <w:t>农林水</w:t>
      </w:r>
      <w:r>
        <w:rPr>
          <w:rFonts w:hint="eastAsia" w:eastAsia="仿宋_GB2312" w:cs="仿宋_GB2312"/>
          <w:sz w:val="32"/>
          <w:szCs w:val="32"/>
        </w:rPr>
        <w:t>支出</w:t>
      </w:r>
      <w:r>
        <w:rPr>
          <w:rFonts w:hint="eastAsia" w:eastAsia="仿宋_GB2312" w:cs="仿宋_GB2312"/>
          <w:sz w:val="32"/>
          <w:szCs w:val="32"/>
          <w:lang w:val="en-US" w:eastAsia="zh-CN"/>
        </w:rPr>
        <w:t>495.28</w:t>
      </w:r>
      <w:r>
        <w:rPr>
          <w:rFonts w:hint="eastAsia" w:eastAsia="仿宋_GB2312" w:cs="仿宋_GB2312"/>
          <w:sz w:val="32"/>
          <w:szCs w:val="32"/>
        </w:rPr>
        <w:t>万元，占</w:t>
      </w:r>
      <w:r>
        <w:rPr>
          <w:rFonts w:hint="eastAsia" w:eastAsia="仿宋_GB2312" w:cs="仿宋_GB2312"/>
          <w:sz w:val="32"/>
          <w:szCs w:val="32"/>
          <w:lang w:val="en-US" w:eastAsia="zh-CN"/>
        </w:rPr>
        <w:t>68.3</w:t>
      </w:r>
      <w:r>
        <w:rPr>
          <w:rFonts w:hint="eastAsia" w:eastAsia="仿宋_GB2312" w:cs="仿宋_GB2312"/>
          <w:sz w:val="32"/>
          <w:szCs w:val="32"/>
        </w:rPr>
        <w:t>%；</w:t>
      </w:r>
      <w:r>
        <w:rPr>
          <w:rFonts w:hint="eastAsia" w:eastAsia="仿宋_GB2312" w:cs="仿宋_GB2312"/>
          <w:sz w:val="32"/>
          <w:szCs w:val="32"/>
          <w:lang w:eastAsia="zh-CN"/>
        </w:rPr>
        <w:t>住房保障</w:t>
      </w:r>
      <w:r>
        <w:rPr>
          <w:rFonts w:hint="eastAsia" w:eastAsia="仿宋_GB2312" w:cs="仿宋_GB2312"/>
          <w:sz w:val="32"/>
          <w:szCs w:val="32"/>
        </w:rPr>
        <w:t>支出</w:t>
      </w:r>
      <w:r>
        <w:rPr>
          <w:rFonts w:hint="eastAsia" w:eastAsia="仿宋_GB2312" w:cs="仿宋_GB2312"/>
          <w:sz w:val="32"/>
          <w:szCs w:val="32"/>
          <w:lang w:val="en-US" w:eastAsia="zh-CN"/>
        </w:rPr>
        <w:t>38.39</w:t>
      </w:r>
      <w:r>
        <w:rPr>
          <w:rFonts w:hint="eastAsia" w:eastAsia="仿宋_GB2312" w:cs="仿宋_GB2312"/>
          <w:sz w:val="32"/>
          <w:szCs w:val="32"/>
        </w:rPr>
        <w:t>万元，占</w:t>
      </w:r>
      <w:r>
        <w:rPr>
          <w:rFonts w:hint="eastAsia" w:eastAsia="仿宋_GB2312" w:cs="仿宋_GB2312"/>
          <w:sz w:val="32"/>
          <w:szCs w:val="32"/>
          <w:lang w:val="en-US" w:eastAsia="zh-CN"/>
        </w:rPr>
        <w:t>5.2</w:t>
      </w:r>
      <w:r>
        <w:rPr>
          <w:rFonts w:hint="eastAsia" w:eastAsia="仿宋_GB2312" w:cs="仿宋_GB2312"/>
          <w:sz w:val="32"/>
          <w:szCs w:val="32"/>
        </w:rPr>
        <w:t>%</w:t>
      </w:r>
      <w:r>
        <w:rPr>
          <w:rFonts w:hint="eastAsia" w:eastAsia="仿宋_GB2312" w:cs="仿宋_GB2312"/>
          <w:sz w:val="32"/>
          <w:szCs w:val="32"/>
          <w:lang w:eastAsia="zh-CN"/>
        </w:rPr>
        <w:t>。</w:t>
      </w:r>
    </w:p>
    <w:p w14:paraId="41CD9013">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eastAsia="仿宋_GB2312" w:cs="仿宋_GB2312"/>
          <w:sz w:val="32"/>
          <w:szCs w:val="32"/>
        </w:rPr>
      </w:pPr>
      <w:r>
        <w:drawing>
          <wp:inline distT="0" distB="0" distL="114300" distR="114300">
            <wp:extent cx="4572000" cy="2743200"/>
            <wp:effectExtent l="4445" t="4445" r="14605" b="14605"/>
            <wp:docPr id="615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0FCEAB">
      <w:pPr>
        <w:spacing w:line="600" w:lineRule="exact"/>
        <w:ind w:firstLine="643" w:firstLineChars="200"/>
        <w:outlineLvl w:val="2"/>
        <w:rPr>
          <w:rFonts w:eastAsia="楷体_GB2312" w:cs="楷体_GB2312"/>
          <w:b/>
          <w:sz w:val="32"/>
          <w:szCs w:val="32"/>
        </w:rPr>
      </w:pPr>
      <w:bookmarkStart w:id="24" w:name="_Toc15377212"/>
      <w:r>
        <w:rPr>
          <w:rFonts w:hint="eastAsia" w:eastAsia="楷体_GB2312" w:cs="楷体_GB2312"/>
          <w:b/>
          <w:sz w:val="32"/>
          <w:szCs w:val="32"/>
        </w:rPr>
        <w:t>（三）一般公共预算财政拨款支出决算具体情况</w:t>
      </w:r>
      <w:bookmarkEnd w:id="24"/>
    </w:p>
    <w:p w14:paraId="66CF0D23">
      <w:pPr>
        <w:spacing w:line="600" w:lineRule="exact"/>
        <w:ind w:firstLine="640"/>
        <w:rPr>
          <w:rFonts w:eastAsia="仿宋_GB2312" w:cs="仿宋_GB2312"/>
          <w:sz w:val="32"/>
          <w:szCs w:val="32"/>
        </w:rPr>
      </w:pPr>
      <w:bookmarkStart w:id="25" w:name="_Toc15377444"/>
      <w:bookmarkStart w:id="26" w:name="_Toc15377213"/>
      <w:bookmarkStart w:id="27" w:name="_Toc15378460"/>
      <w:r>
        <w:rPr>
          <w:rFonts w:hint="eastAsia" w:eastAsia="仿宋_GB2312" w:cs="仿宋_GB2312"/>
          <w:sz w:val="32"/>
          <w:szCs w:val="32"/>
        </w:rPr>
        <w:t>2025年度一般公共预算支出决算数为</w:t>
      </w:r>
      <w:r>
        <w:rPr>
          <w:rFonts w:hint="eastAsia" w:eastAsia="仿宋_GB2312" w:cs="仿宋_GB2312"/>
          <w:sz w:val="32"/>
          <w:szCs w:val="32"/>
          <w:lang w:val="en-US" w:eastAsia="zh-CN"/>
        </w:rPr>
        <w:t>725.54万元</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25"/>
      <w:bookmarkEnd w:id="26"/>
      <w:bookmarkEnd w:id="27"/>
    </w:p>
    <w:p w14:paraId="372A952F">
      <w:pPr>
        <w:numPr>
          <w:ilvl w:val="0"/>
          <w:numId w:val="0"/>
        </w:numPr>
        <w:spacing w:line="600" w:lineRule="exact"/>
        <w:ind w:firstLine="640" w:firstLineChars="200"/>
        <w:rPr>
          <w:rFonts w:hint="eastAsia" w:eastAsia="仿宋_GB2312" w:cs="仿宋_GB2312"/>
          <w:sz w:val="32"/>
          <w:szCs w:val="32"/>
          <w:lang w:eastAsia="zh-CN"/>
        </w:rPr>
      </w:pPr>
      <w:r>
        <w:rPr>
          <w:rFonts w:hint="eastAsia" w:eastAsia="仿宋_GB2312" w:cs="仿宋_GB2312"/>
          <w:sz w:val="32"/>
          <w:szCs w:val="32"/>
          <w:lang w:val="en-US" w:eastAsia="zh-CN"/>
        </w:rPr>
        <w:t>1.</w:t>
      </w:r>
      <w:r>
        <w:rPr>
          <w:rFonts w:hint="eastAsia" w:eastAsia="仿宋_GB2312" w:cs="仿宋_GB2312"/>
          <w:sz w:val="32"/>
          <w:szCs w:val="32"/>
        </w:rPr>
        <w:t>一般公共服务（类）</w:t>
      </w:r>
      <w:r>
        <w:rPr>
          <w:rFonts w:hint="eastAsia" w:eastAsia="仿宋_GB2312" w:cs="仿宋_GB2312"/>
          <w:sz w:val="32"/>
          <w:szCs w:val="32"/>
          <w:lang w:eastAsia="zh-CN"/>
        </w:rPr>
        <w:t>组织事务</w:t>
      </w:r>
      <w:r>
        <w:rPr>
          <w:rFonts w:hint="eastAsia" w:eastAsia="仿宋_GB2312" w:cs="仿宋_GB2312"/>
          <w:sz w:val="32"/>
          <w:szCs w:val="32"/>
        </w:rPr>
        <w:t>（款）</w:t>
      </w:r>
      <w:r>
        <w:rPr>
          <w:rFonts w:hint="eastAsia" w:eastAsia="仿宋_GB2312" w:cs="仿宋_GB2312"/>
          <w:sz w:val="32"/>
          <w:szCs w:val="32"/>
          <w:lang w:eastAsia="zh-CN"/>
        </w:rPr>
        <w:t>其他组织事务支出</w:t>
      </w:r>
      <w:r>
        <w:rPr>
          <w:rFonts w:hint="eastAsia" w:eastAsia="仿宋_GB2312" w:cs="仿宋_GB2312"/>
          <w:sz w:val="32"/>
          <w:szCs w:val="32"/>
        </w:rPr>
        <w:t>（项）</w:t>
      </w:r>
      <w:r>
        <w:rPr>
          <w:rFonts w:hint="eastAsia" w:eastAsia="仿宋_GB2312" w:cs="仿宋_GB2312"/>
          <w:sz w:val="32"/>
          <w:szCs w:val="32"/>
          <w:lang w:eastAsia="zh-CN"/>
        </w:rPr>
        <w:t>：</w:t>
      </w:r>
      <w:r>
        <w:rPr>
          <w:rFonts w:hint="eastAsia" w:eastAsia="仿宋_GB2312" w:cs="仿宋_GB2312"/>
          <w:sz w:val="32"/>
          <w:szCs w:val="32"/>
        </w:rPr>
        <w:t>支出决算为</w:t>
      </w:r>
      <w:r>
        <w:rPr>
          <w:rFonts w:hint="eastAsia" w:eastAsia="仿宋_GB2312" w:cs="仿宋_GB2312"/>
          <w:sz w:val="32"/>
          <w:szCs w:val="32"/>
          <w:lang w:val="en-US" w:eastAsia="zh-CN"/>
        </w:rPr>
        <w:t>2.45</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65260B94">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2.社会保障和就业支出（类）行政事业单位养老支出（款）</w:t>
      </w:r>
      <w:r>
        <w:rPr>
          <w:rFonts w:hint="eastAsia" w:eastAsia="仿宋_GB2312" w:cs="Times New Roman"/>
          <w:color w:val="auto"/>
          <w:kern w:val="2"/>
          <w:sz w:val="32"/>
          <w:szCs w:val="32"/>
          <w:highlight w:val="none"/>
          <w:lang w:val="en-US" w:eastAsia="zh-CN" w:bidi="ar-SA"/>
        </w:rPr>
        <w:t>事业单位离退休</w:t>
      </w:r>
      <w:r>
        <w:rPr>
          <w:rFonts w:hint="default" w:ascii="Times New Roman" w:hAnsi="Times New Roman" w:eastAsia="仿宋_GB2312" w:cs="Times New Roman"/>
          <w:color w:val="auto"/>
          <w:kern w:val="2"/>
          <w:sz w:val="32"/>
          <w:szCs w:val="32"/>
          <w:highlight w:val="none"/>
          <w:lang w:val="en-US" w:eastAsia="zh-CN" w:bidi="ar-SA"/>
        </w:rPr>
        <w:t>（项）：支出决算为</w:t>
      </w:r>
      <w:r>
        <w:rPr>
          <w:rFonts w:hint="eastAsia" w:eastAsia="仿宋_GB2312" w:cs="Times New Roman"/>
          <w:color w:val="auto"/>
          <w:kern w:val="2"/>
          <w:sz w:val="32"/>
          <w:szCs w:val="32"/>
          <w:highlight w:val="none"/>
          <w:lang w:val="en-US" w:eastAsia="zh-CN" w:bidi="ar-SA"/>
        </w:rPr>
        <w:t>8.73</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4BAAD289">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3.社会保障和就业支出（类）行政事业单位养老支出（款）机关事业单位基本养老保险缴费支出（项）：支出决算为5</w:t>
      </w:r>
      <w:r>
        <w:rPr>
          <w:rFonts w:hint="eastAsia" w:ascii="Times New Roman" w:hAnsi="Times New Roman" w:eastAsia="仿宋_GB2312" w:cs="Times New Roman"/>
          <w:color w:val="auto"/>
          <w:kern w:val="2"/>
          <w:sz w:val="32"/>
          <w:szCs w:val="32"/>
          <w:highlight w:val="none"/>
          <w:lang w:val="en-US" w:eastAsia="zh-CN" w:bidi="ar-SA"/>
        </w:rPr>
        <w:t>2.5</w:t>
      </w:r>
      <w:r>
        <w:rPr>
          <w:rFonts w:hint="eastAsia"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159D6448">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4.卫生健康支出（类）行政事业单位医疗（款）事业单位医疗（项）：支出决算为24.</w:t>
      </w:r>
      <w:r>
        <w:rPr>
          <w:rFonts w:hint="eastAsia" w:ascii="Times New Roman" w:hAnsi="Times New Roman" w:eastAsia="仿宋_GB2312" w:cs="Times New Roman"/>
          <w:color w:val="auto"/>
          <w:kern w:val="2"/>
          <w:sz w:val="32"/>
          <w:szCs w:val="32"/>
          <w:highlight w:val="none"/>
          <w:lang w:val="en-US" w:eastAsia="zh-CN" w:bidi="ar-SA"/>
        </w:rPr>
        <w:t>61</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31309E90">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5.卫生健康支出（类）行政事业单位医疗（款）公务员医疗补助（项）：支出决算为</w:t>
      </w:r>
      <w:r>
        <w:rPr>
          <w:rFonts w:hint="eastAsia" w:ascii="Times New Roman" w:hAnsi="Times New Roman" w:eastAsia="仿宋_GB2312" w:cs="Times New Roman"/>
          <w:color w:val="auto"/>
          <w:kern w:val="2"/>
          <w:sz w:val="32"/>
          <w:szCs w:val="32"/>
          <w:highlight w:val="none"/>
          <w:lang w:val="en-US" w:eastAsia="zh-CN" w:bidi="ar-SA"/>
        </w:rPr>
        <w:t>6.61</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6474EE9B">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6.</w:t>
      </w:r>
      <w:r>
        <w:rPr>
          <w:rFonts w:hint="eastAsia" w:ascii="Times New Roman" w:hAnsi="Times New Roman" w:eastAsia="仿宋_GB2312" w:cs="Times New Roman"/>
          <w:color w:val="auto"/>
          <w:kern w:val="2"/>
          <w:sz w:val="32"/>
          <w:szCs w:val="32"/>
          <w:highlight w:val="none"/>
          <w:lang w:val="en-US" w:eastAsia="zh-CN" w:bidi="ar-SA"/>
        </w:rPr>
        <w:t>城乡社区支出</w:t>
      </w:r>
      <w:r>
        <w:rPr>
          <w:rFonts w:hint="default" w:ascii="Times New Roman" w:hAnsi="Times New Roman" w:eastAsia="仿宋_GB2312" w:cs="Times New Roman"/>
          <w:color w:val="auto"/>
          <w:kern w:val="2"/>
          <w:sz w:val="32"/>
          <w:szCs w:val="32"/>
          <w:highlight w:val="none"/>
          <w:lang w:val="en-US" w:eastAsia="zh-CN" w:bidi="ar-SA"/>
        </w:rPr>
        <w:t>（类）</w:t>
      </w:r>
      <w:r>
        <w:rPr>
          <w:rFonts w:hint="eastAsia" w:ascii="Times New Roman" w:hAnsi="Times New Roman" w:eastAsia="仿宋_GB2312" w:cs="Times New Roman"/>
          <w:color w:val="auto"/>
          <w:kern w:val="2"/>
          <w:sz w:val="32"/>
          <w:szCs w:val="32"/>
          <w:highlight w:val="none"/>
          <w:lang w:val="en-US" w:eastAsia="zh-CN" w:bidi="ar-SA"/>
        </w:rPr>
        <w:t>其他城乡社区支出</w:t>
      </w:r>
      <w:r>
        <w:rPr>
          <w:rFonts w:hint="default" w:ascii="Times New Roman" w:hAnsi="Times New Roman" w:eastAsia="仿宋_GB2312" w:cs="Times New Roman"/>
          <w:color w:val="auto"/>
          <w:kern w:val="2"/>
          <w:sz w:val="32"/>
          <w:szCs w:val="32"/>
          <w:highlight w:val="none"/>
          <w:lang w:val="en-US" w:eastAsia="zh-CN" w:bidi="ar-SA"/>
        </w:rPr>
        <w:t>（款）</w:t>
      </w:r>
      <w:r>
        <w:rPr>
          <w:rFonts w:hint="eastAsia" w:ascii="Times New Roman" w:hAnsi="Times New Roman" w:eastAsia="仿宋_GB2312" w:cs="Times New Roman"/>
          <w:color w:val="auto"/>
          <w:kern w:val="2"/>
          <w:sz w:val="32"/>
          <w:szCs w:val="32"/>
          <w:highlight w:val="none"/>
          <w:lang w:val="en-US" w:eastAsia="zh-CN" w:bidi="ar-SA"/>
        </w:rPr>
        <w:t>其他城乡社区支出</w:t>
      </w:r>
      <w:r>
        <w:rPr>
          <w:rFonts w:hint="default" w:ascii="Times New Roman" w:hAnsi="Times New Roman" w:eastAsia="仿宋_GB2312" w:cs="Times New Roman"/>
          <w:color w:val="auto"/>
          <w:kern w:val="2"/>
          <w:sz w:val="32"/>
          <w:szCs w:val="32"/>
          <w:highlight w:val="none"/>
          <w:lang w:val="en-US" w:eastAsia="zh-CN" w:bidi="ar-SA"/>
        </w:rPr>
        <w:t>（项）：支出决算为</w:t>
      </w:r>
      <w:r>
        <w:rPr>
          <w:rFonts w:hint="eastAsia" w:ascii="Times New Roman" w:hAnsi="Times New Roman" w:eastAsia="仿宋_GB2312" w:cs="Times New Roman"/>
          <w:color w:val="auto"/>
          <w:kern w:val="2"/>
          <w:sz w:val="32"/>
          <w:szCs w:val="32"/>
          <w:highlight w:val="none"/>
          <w:lang w:val="en-US" w:eastAsia="zh-CN" w:bidi="ar-SA"/>
        </w:rPr>
        <w:t>96.9</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28BB90B1">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7.农林水支出（类）水利（款）水利工程运行与维护（项）：支出决算为4</w:t>
      </w:r>
      <w:r>
        <w:rPr>
          <w:rFonts w:hint="eastAsia" w:ascii="Times New Roman" w:hAnsi="Times New Roman" w:eastAsia="仿宋_GB2312" w:cs="Times New Roman"/>
          <w:color w:val="auto"/>
          <w:kern w:val="2"/>
          <w:sz w:val="32"/>
          <w:szCs w:val="32"/>
          <w:highlight w:val="none"/>
          <w:lang w:val="en-US" w:eastAsia="zh-CN" w:bidi="ar-SA"/>
        </w:rPr>
        <w:t>87.28</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3A8B39D4">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.农林水支出（类）水利（款）</w:t>
      </w:r>
      <w:r>
        <w:rPr>
          <w:rFonts w:hint="eastAsia" w:ascii="Times New Roman" w:hAnsi="Times New Roman" w:eastAsia="仿宋_GB2312" w:cs="Times New Roman"/>
          <w:color w:val="auto"/>
          <w:kern w:val="2"/>
          <w:sz w:val="32"/>
          <w:szCs w:val="32"/>
          <w:highlight w:val="none"/>
          <w:lang w:val="en-US" w:eastAsia="zh-CN" w:bidi="ar-SA"/>
        </w:rPr>
        <w:t>水资源节约管理与保护</w:t>
      </w:r>
      <w:r>
        <w:rPr>
          <w:rFonts w:hint="default" w:ascii="Times New Roman" w:hAnsi="Times New Roman" w:eastAsia="仿宋_GB2312" w:cs="Times New Roman"/>
          <w:color w:val="auto"/>
          <w:kern w:val="2"/>
          <w:sz w:val="32"/>
          <w:szCs w:val="32"/>
          <w:highlight w:val="none"/>
          <w:lang w:val="en-US" w:eastAsia="zh-CN" w:bidi="ar-SA"/>
        </w:rPr>
        <w:t>（项）：支出决算为</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3F26A892">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农林水支出（类）水利（款）</w:t>
      </w:r>
      <w:r>
        <w:rPr>
          <w:rFonts w:hint="eastAsia" w:ascii="Times New Roman" w:hAnsi="Times New Roman" w:eastAsia="仿宋_GB2312" w:cs="Times New Roman"/>
          <w:color w:val="auto"/>
          <w:kern w:val="2"/>
          <w:sz w:val="32"/>
          <w:szCs w:val="32"/>
          <w:highlight w:val="none"/>
          <w:lang w:val="en-US" w:eastAsia="zh-CN" w:bidi="ar-SA"/>
        </w:rPr>
        <w:t>其他</w:t>
      </w:r>
      <w:r>
        <w:rPr>
          <w:rFonts w:hint="eastAsia" w:eastAsia="仿宋_GB2312" w:cs="Times New Roman"/>
          <w:color w:val="auto"/>
          <w:kern w:val="2"/>
          <w:sz w:val="32"/>
          <w:szCs w:val="32"/>
          <w:highlight w:val="none"/>
          <w:lang w:val="en-US" w:eastAsia="zh-CN" w:bidi="ar-SA"/>
        </w:rPr>
        <w:t>水利</w:t>
      </w:r>
      <w:r>
        <w:rPr>
          <w:rFonts w:hint="eastAsia" w:ascii="Times New Roman" w:hAnsi="Times New Roman" w:eastAsia="仿宋_GB2312" w:cs="Times New Roman"/>
          <w:color w:val="auto"/>
          <w:kern w:val="2"/>
          <w:sz w:val="32"/>
          <w:szCs w:val="32"/>
          <w:highlight w:val="none"/>
          <w:lang w:val="en-US" w:eastAsia="zh-CN" w:bidi="ar-SA"/>
        </w:rPr>
        <w:t>支出</w:t>
      </w:r>
      <w:r>
        <w:rPr>
          <w:rFonts w:hint="default" w:ascii="Times New Roman" w:hAnsi="Times New Roman" w:eastAsia="仿宋_GB2312" w:cs="Times New Roman"/>
          <w:color w:val="auto"/>
          <w:kern w:val="2"/>
          <w:sz w:val="32"/>
          <w:szCs w:val="32"/>
          <w:highlight w:val="none"/>
          <w:lang w:val="en-US" w:eastAsia="zh-CN" w:bidi="ar-SA"/>
        </w:rPr>
        <w:t>（项）：支出决算为</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43D7C44C">
      <w:pPr>
        <w:pStyle w:val="2"/>
        <w:rPr>
          <w:rFonts w:hint="default"/>
          <w:lang w:val="en-US" w:eastAsia="zh-CN"/>
        </w:rPr>
      </w:pPr>
    </w:p>
    <w:p w14:paraId="418D3441">
      <w:pPr>
        <w:pStyle w:val="2"/>
        <w:rPr>
          <w:rFonts w:hint="default"/>
          <w:lang w:val="en-US" w:eastAsia="zh-CN"/>
        </w:rPr>
      </w:pPr>
    </w:p>
    <w:p w14:paraId="285C29F5">
      <w:pPr>
        <w:pStyle w:val="2"/>
        <w:rPr>
          <w:rFonts w:hint="default"/>
          <w:lang w:val="en-US" w:eastAsia="zh-CN"/>
        </w:rPr>
      </w:pPr>
    </w:p>
    <w:p w14:paraId="22D65962">
      <w:pPr>
        <w:spacing w:line="600" w:lineRule="exact"/>
        <w:ind w:firstLine="640"/>
        <w:rPr>
          <w:rFonts w:eastAsia="仿宋_GB2312" w:cs="仿宋_GB2312"/>
          <w:sz w:val="32"/>
          <w:szCs w:val="32"/>
        </w:rPr>
      </w:pPr>
      <w:r>
        <w:rPr>
          <w:rFonts w:hint="eastAsia" w:ascii="Times New Roman" w:hAnsi="Times New Roman" w:eastAsia="仿宋_GB2312" w:cs="Times New Roman"/>
          <w:color w:val="auto"/>
          <w:kern w:val="2"/>
          <w:sz w:val="32"/>
          <w:szCs w:val="32"/>
          <w:highlight w:val="none"/>
          <w:lang w:val="en-US" w:eastAsia="zh-CN" w:bidi="ar-SA"/>
        </w:rPr>
        <w:t>10</w:t>
      </w:r>
      <w:r>
        <w:rPr>
          <w:rFonts w:hint="default" w:ascii="Times New Roman" w:hAnsi="Times New Roman" w:eastAsia="仿宋_GB2312" w:cs="Times New Roman"/>
          <w:color w:val="auto"/>
          <w:kern w:val="2"/>
          <w:sz w:val="32"/>
          <w:szCs w:val="32"/>
          <w:highlight w:val="none"/>
          <w:lang w:val="en-US" w:eastAsia="zh-CN" w:bidi="ar-SA"/>
        </w:rPr>
        <w:t>.住房保障支出（类）住房改革支出（款）住房公积金（项）：支出决算为3</w:t>
      </w:r>
      <w:r>
        <w:rPr>
          <w:rFonts w:hint="eastAsia" w:ascii="Times New Roman" w:hAnsi="Times New Roman" w:eastAsia="仿宋_GB2312" w:cs="Times New Roman"/>
          <w:color w:val="auto"/>
          <w:kern w:val="2"/>
          <w:sz w:val="32"/>
          <w:szCs w:val="32"/>
          <w:highlight w:val="none"/>
          <w:lang w:val="en-US" w:eastAsia="zh-CN" w:bidi="ar-SA"/>
        </w:rPr>
        <w:t>8.39</w:t>
      </w:r>
      <w:r>
        <w:rPr>
          <w:rFonts w:hint="default" w:ascii="Times New Roman" w:hAnsi="Times New Roman" w:eastAsia="仿宋_GB2312" w:cs="Times New Roman"/>
          <w:color w:val="auto"/>
          <w:kern w:val="2"/>
          <w:sz w:val="32"/>
          <w:szCs w:val="32"/>
          <w:highlight w:val="none"/>
          <w:lang w:val="en-US" w:eastAsia="zh-CN" w:bidi="ar-SA"/>
        </w:rPr>
        <w:t>万元，完成预算100%。</w:t>
      </w:r>
    </w:p>
    <w:p w14:paraId="5D7AD29E">
      <w:pPr>
        <w:tabs>
          <w:tab w:val="right" w:pos="8306"/>
        </w:tabs>
        <w:spacing w:line="600" w:lineRule="exact"/>
        <w:ind w:firstLine="640"/>
        <w:outlineLvl w:val="1"/>
        <w:rPr>
          <w:rStyle w:val="29"/>
          <w:rFonts w:ascii="Times New Roman" w:hAnsi="Times New Roman"/>
        </w:rPr>
      </w:pPr>
      <w:bookmarkStart w:id="28" w:name="_Toc15396608"/>
      <w:bookmarkStart w:id="29" w:name="_Toc15377214"/>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28"/>
      <w:bookmarkEnd w:id="29"/>
      <w:r>
        <w:rPr>
          <w:rStyle w:val="29"/>
          <w:rFonts w:ascii="Times New Roman" w:hAnsi="Times New Roman" w:eastAsia="黑体"/>
          <w:b w:val="0"/>
        </w:rPr>
        <w:tab/>
      </w:r>
    </w:p>
    <w:p w14:paraId="6D1A03FB">
      <w:pPr>
        <w:spacing w:line="600" w:lineRule="exact"/>
        <w:ind w:firstLine="640"/>
        <w:rPr>
          <w:rFonts w:eastAsia="仿宋_GB2312" w:cs="仿宋_GB2312"/>
          <w:sz w:val="32"/>
          <w:szCs w:val="32"/>
        </w:rPr>
      </w:pPr>
      <w:r>
        <w:rPr>
          <w:rFonts w:hint="eastAsia" w:eastAsia="仿宋_GB2312" w:cs="仿宋_GB2312"/>
          <w:sz w:val="32"/>
          <w:szCs w:val="32"/>
        </w:rPr>
        <w:t>2025年度一般公共预算财政拨款基本支出</w:t>
      </w:r>
      <w:r>
        <w:rPr>
          <w:rFonts w:hint="eastAsia" w:eastAsia="仿宋_GB2312" w:cs="仿宋_GB2312"/>
          <w:sz w:val="32"/>
          <w:szCs w:val="32"/>
          <w:lang w:val="en-US" w:eastAsia="zh-CN"/>
        </w:rPr>
        <w:t>548.08</w:t>
      </w:r>
      <w:r>
        <w:rPr>
          <w:rFonts w:hint="eastAsia" w:eastAsia="仿宋_GB2312" w:cs="仿宋_GB2312"/>
          <w:sz w:val="32"/>
          <w:szCs w:val="32"/>
        </w:rPr>
        <w:t>万元，其中：</w:t>
      </w:r>
    </w:p>
    <w:p w14:paraId="279D1411">
      <w:pPr>
        <w:spacing w:line="600"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仿宋_GB2312"/>
          <w:sz w:val="32"/>
          <w:szCs w:val="32"/>
        </w:rPr>
        <w:t>人员经费</w:t>
      </w:r>
      <w:r>
        <w:rPr>
          <w:rFonts w:hint="eastAsia" w:eastAsia="仿宋_GB2312" w:cs="仿宋_GB2312"/>
          <w:sz w:val="32"/>
          <w:szCs w:val="32"/>
          <w:lang w:val="en-US" w:eastAsia="zh-CN"/>
        </w:rPr>
        <w:t>502.48</w:t>
      </w:r>
      <w:r>
        <w:rPr>
          <w:rFonts w:hint="eastAsia" w:eastAsia="仿宋_GB2312" w:cs="仿宋_GB2312"/>
          <w:sz w:val="32"/>
          <w:szCs w:val="32"/>
        </w:rPr>
        <w:t>万元，主要包括：</w:t>
      </w:r>
      <w:r>
        <w:rPr>
          <w:rFonts w:hint="default" w:ascii="Times New Roman" w:hAnsi="Times New Roman" w:eastAsia="仿宋_GB2312" w:cs="Times New Roman"/>
          <w:color w:val="auto"/>
          <w:kern w:val="2"/>
          <w:sz w:val="32"/>
          <w:szCs w:val="32"/>
          <w:highlight w:val="none"/>
          <w:lang w:val="en-US" w:eastAsia="zh-CN" w:bidi="ar-SA"/>
        </w:rPr>
        <w:t>基本工资1</w:t>
      </w:r>
      <w:r>
        <w:rPr>
          <w:rFonts w:hint="eastAsia" w:ascii="Times New Roman" w:hAnsi="Times New Roman" w:eastAsia="仿宋_GB2312" w:cs="Times New Roman"/>
          <w:color w:val="auto"/>
          <w:kern w:val="2"/>
          <w:sz w:val="32"/>
          <w:szCs w:val="32"/>
          <w:highlight w:val="none"/>
          <w:lang w:val="en-US" w:eastAsia="zh-CN" w:bidi="ar-SA"/>
        </w:rPr>
        <w:t>44.01</w:t>
      </w:r>
      <w:r>
        <w:rPr>
          <w:rFonts w:hint="default" w:ascii="Times New Roman" w:hAnsi="Times New Roman" w:eastAsia="仿宋_GB2312" w:cs="Times New Roman"/>
          <w:color w:val="auto"/>
          <w:kern w:val="2"/>
          <w:sz w:val="32"/>
          <w:szCs w:val="32"/>
          <w:highlight w:val="none"/>
          <w:lang w:val="en-US" w:eastAsia="zh-CN" w:bidi="ar-SA"/>
        </w:rPr>
        <w:t>万元、津贴补贴</w:t>
      </w:r>
      <w:r>
        <w:rPr>
          <w:rFonts w:hint="eastAsia" w:ascii="Times New Roman" w:hAnsi="Times New Roman" w:eastAsia="仿宋_GB2312" w:cs="Times New Roman"/>
          <w:color w:val="auto"/>
          <w:kern w:val="2"/>
          <w:sz w:val="32"/>
          <w:szCs w:val="32"/>
          <w:highlight w:val="none"/>
          <w:lang w:val="en-US" w:eastAsia="zh-CN" w:bidi="ar-SA"/>
        </w:rPr>
        <w:t>14.69</w:t>
      </w:r>
      <w:r>
        <w:rPr>
          <w:rFonts w:hint="default" w:ascii="Times New Roman" w:hAnsi="Times New Roman" w:eastAsia="仿宋_GB2312" w:cs="Times New Roman"/>
          <w:color w:val="auto"/>
          <w:kern w:val="2"/>
          <w:sz w:val="32"/>
          <w:szCs w:val="32"/>
          <w:highlight w:val="none"/>
          <w:lang w:val="en-US" w:eastAsia="zh-CN" w:bidi="ar-SA"/>
        </w:rPr>
        <w:t>万元、绩效工资</w:t>
      </w:r>
      <w:r>
        <w:rPr>
          <w:rFonts w:hint="eastAsia" w:ascii="Times New Roman" w:hAnsi="Times New Roman" w:eastAsia="仿宋_GB2312" w:cs="Times New Roman"/>
          <w:color w:val="auto"/>
          <w:kern w:val="2"/>
          <w:sz w:val="32"/>
          <w:szCs w:val="32"/>
          <w:highlight w:val="none"/>
          <w:lang w:val="en-US" w:eastAsia="zh-CN" w:bidi="ar-SA"/>
        </w:rPr>
        <w:t>193.82</w:t>
      </w:r>
      <w:r>
        <w:rPr>
          <w:rFonts w:hint="default" w:ascii="Times New Roman" w:hAnsi="Times New Roman" w:eastAsia="仿宋_GB2312" w:cs="Times New Roman"/>
          <w:color w:val="auto"/>
          <w:kern w:val="2"/>
          <w:sz w:val="32"/>
          <w:szCs w:val="32"/>
          <w:highlight w:val="none"/>
          <w:lang w:val="en-US" w:eastAsia="zh-CN" w:bidi="ar-SA"/>
        </w:rPr>
        <w:t>万元、机关事业单位基本养老保险缴费</w:t>
      </w:r>
      <w:r>
        <w:rPr>
          <w:rFonts w:hint="eastAsia" w:ascii="Times New Roman" w:hAnsi="Times New Roman" w:eastAsia="仿宋_GB2312" w:cs="Times New Roman"/>
          <w:color w:val="auto"/>
          <w:kern w:val="2"/>
          <w:sz w:val="32"/>
          <w:szCs w:val="32"/>
          <w:highlight w:val="none"/>
          <w:lang w:val="en-US" w:eastAsia="zh-CN" w:bidi="ar-SA"/>
        </w:rPr>
        <w:t>52.57</w:t>
      </w:r>
      <w:r>
        <w:rPr>
          <w:rFonts w:hint="default" w:ascii="Times New Roman" w:hAnsi="Times New Roman" w:eastAsia="仿宋_GB2312" w:cs="Times New Roman"/>
          <w:color w:val="auto"/>
          <w:kern w:val="2"/>
          <w:sz w:val="32"/>
          <w:szCs w:val="32"/>
          <w:highlight w:val="none"/>
          <w:lang w:val="en-US" w:eastAsia="zh-CN" w:bidi="ar-SA"/>
        </w:rPr>
        <w:t>万元、职工基本医疗保险缴费</w:t>
      </w:r>
      <w:r>
        <w:rPr>
          <w:rFonts w:hint="eastAsia" w:ascii="Times New Roman" w:hAnsi="Times New Roman" w:eastAsia="仿宋_GB2312" w:cs="Times New Roman"/>
          <w:color w:val="auto"/>
          <w:kern w:val="2"/>
          <w:sz w:val="32"/>
          <w:szCs w:val="32"/>
          <w:highlight w:val="none"/>
          <w:lang w:val="en-US" w:eastAsia="zh-CN" w:bidi="ar-SA"/>
        </w:rPr>
        <w:t>24.61</w:t>
      </w:r>
      <w:r>
        <w:rPr>
          <w:rFonts w:hint="default" w:ascii="Times New Roman" w:hAnsi="Times New Roman" w:eastAsia="仿宋_GB2312" w:cs="Times New Roman"/>
          <w:color w:val="auto"/>
          <w:kern w:val="2"/>
          <w:sz w:val="32"/>
          <w:szCs w:val="32"/>
          <w:highlight w:val="none"/>
          <w:lang w:val="en-US" w:eastAsia="zh-CN" w:bidi="ar-SA"/>
        </w:rPr>
        <w:t>万元、公务员医疗补助缴费</w:t>
      </w:r>
      <w:r>
        <w:rPr>
          <w:rFonts w:hint="eastAsia" w:ascii="Times New Roman" w:hAnsi="Times New Roman" w:eastAsia="仿宋_GB2312" w:cs="Times New Roman"/>
          <w:color w:val="auto"/>
          <w:kern w:val="2"/>
          <w:sz w:val="32"/>
          <w:szCs w:val="32"/>
          <w:highlight w:val="none"/>
          <w:lang w:val="en-US" w:eastAsia="zh-CN" w:bidi="ar-SA"/>
        </w:rPr>
        <w:t>6.61</w:t>
      </w:r>
      <w:r>
        <w:rPr>
          <w:rFonts w:hint="default" w:ascii="Times New Roman" w:hAnsi="Times New Roman" w:eastAsia="仿宋_GB2312" w:cs="Times New Roman"/>
          <w:color w:val="auto"/>
          <w:kern w:val="2"/>
          <w:sz w:val="32"/>
          <w:szCs w:val="32"/>
          <w:highlight w:val="none"/>
          <w:lang w:val="en-US" w:eastAsia="zh-CN" w:bidi="ar-SA"/>
        </w:rPr>
        <w:t>万元、其他社会保障缴费</w:t>
      </w:r>
      <w:r>
        <w:rPr>
          <w:rFonts w:hint="eastAsia" w:ascii="Times New Roman" w:hAnsi="Times New Roman" w:eastAsia="仿宋_GB2312" w:cs="Times New Roman"/>
          <w:color w:val="auto"/>
          <w:kern w:val="2"/>
          <w:sz w:val="32"/>
          <w:szCs w:val="32"/>
          <w:highlight w:val="none"/>
          <w:lang w:val="en-US" w:eastAsia="zh-CN" w:bidi="ar-SA"/>
        </w:rPr>
        <w:t>2.59</w:t>
      </w:r>
      <w:r>
        <w:rPr>
          <w:rFonts w:hint="default" w:ascii="Times New Roman" w:hAnsi="Times New Roman" w:eastAsia="仿宋_GB2312" w:cs="Times New Roman"/>
          <w:color w:val="auto"/>
          <w:kern w:val="2"/>
          <w:sz w:val="32"/>
          <w:szCs w:val="32"/>
          <w:highlight w:val="none"/>
          <w:lang w:val="en-US" w:eastAsia="zh-CN" w:bidi="ar-SA"/>
        </w:rPr>
        <w:t>万元、住房公积金</w:t>
      </w:r>
      <w:r>
        <w:rPr>
          <w:rFonts w:hint="eastAsia" w:ascii="Times New Roman" w:hAnsi="Times New Roman" w:eastAsia="仿宋_GB2312" w:cs="Times New Roman"/>
          <w:color w:val="auto"/>
          <w:kern w:val="2"/>
          <w:sz w:val="32"/>
          <w:szCs w:val="32"/>
          <w:highlight w:val="none"/>
          <w:lang w:val="en-US" w:eastAsia="zh-CN" w:bidi="ar-SA"/>
        </w:rPr>
        <w:t>38.39</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ascii="Times New Roman" w:hAnsi="Times New Roman" w:eastAsia="仿宋_GB2312" w:cs="Times New Roman"/>
          <w:color w:val="auto"/>
          <w:kern w:val="2"/>
          <w:sz w:val="32"/>
          <w:szCs w:val="32"/>
          <w:highlight w:val="none"/>
          <w:lang w:val="en-US" w:eastAsia="zh-CN" w:bidi="ar-SA"/>
        </w:rPr>
        <w:t>其他工资福利支出6.91万元、</w:t>
      </w:r>
      <w:r>
        <w:rPr>
          <w:rFonts w:hint="default" w:ascii="Times New Roman" w:hAnsi="Times New Roman" w:eastAsia="仿宋_GB2312" w:cs="Times New Roman"/>
          <w:color w:val="auto"/>
          <w:kern w:val="2"/>
          <w:sz w:val="32"/>
          <w:szCs w:val="32"/>
          <w:highlight w:val="none"/>
          <w:lang w:val="en-US" w:eastAsia="zh-CN" w:bidi="ar-SA"/>
        </w:rPr>
        <w:t>生活补助</w:t>
      </w:r>
      <w:r>
        <w:rPr>
          <w:rFonts w:hint="eastAsia" w:ascii="Times New Roman" w:hAnsi="Times New Roman" w:eastAsia="仿宋_GB2312" w:cs="Times New Roman"/>
          <w:color w:val="auto"/>
          <w:kern w:val="2"/>
          <w:sz w:val="32"/>
          <w:szCs w:val="32"/>
          <w:highlight w:val="none"/>
          <w:lang w:val="en-US" w:eastAsia="zh-CN" w:bidi="ar-SA"/>
        </w:rPr>
        <w:t>16.9</w:t>
      </w:r>
      <w:r>
        <w:rPr>
          <w:rFonts w:hint="default" w:ascii="Times New Roman" w:hAnsi="Times New Roman" w:eastAsia="仿宋_GB2312" w:cs="Times New Roman"/>
          <w:color w:val="auto"/>
          <w:kern w:val="2"/>
          <w:sz w:val="32"/>
          <w:szCs w:val="32"/>
          <w:highlight w:val="none"/>
          <w:lang w:val="en-US" w:eastAsia="zh-CN" w:bidi="ar-SA"/>
        </w:rPr>
        <w:t>万元、医疗费补助</w:t>
      </w:r>
      <w:r>
        <w:rPr>
          <w:rFonts w:hint="eastAsia" w:ascii="Times New Roman" w:hAnsi="Times New Roman" w:eastAsia="仿宋_GB2312" w:cs="Times New Roman"/>
          <w:color w:val="auto"/>
          <w:kern w:val="2"/>
          <w:sz w:val="32"/>
          <w:szCs w:val="32"/>
          <w:highlight w:val="none"/>
          <w:lang w:val="en-US" w:eastAsia="zh-CN" w:bidi="ar-SA"/>
        </w:rPr>
        <w:t>1.36</w:t>
      </w:r>
      <w:r>
        <w:rPr>
          <w:rFonts w:hint="default" w:ascii="Times New Roman" w:hAnsi="Times New Roman" w:eastAsia="仿宋_GB2312" w:cs="Times New Roman"/>
          <w:color w:val="auto"/>
          <w:kern w:val="2"/>
          <w:sz w:val="32"/>
          <w:szCs w:val="32"/>
          <w:highlight w:val="none"/>
          <w:lang w:val="en-US" w:eastAsia="zh-CN" w:bidi="ar-SA"/>
        </w:rPr>
        <w:t>万元、奖励金0.02万元。</w:t>
      </w:r>
      <w:r>
        <w:rPr>
          <w:rFonts w:hint="eastAsia" w:eastAsia="仿宋_GB2312" w:cs="仿宋_GB2312"/>
          <w:sz w:val="32"/>
          <w:szCs w:val="32"/>
        </w:rPr>
        <w:br w:type="textWrapping"/>
      </w:r>
      <w:r>
        <w:rPr>
          <w:rFonts w:hint="eastAsia" w:eastAsia="仿宋_GB2312" w:cs="仿宋_GB2312"/>
          <w:sz w:val="32"/>
          <w:szCs w:val="32"/>
          <w:lang w:val="en-US" w:eastAsia="zh-CN"/>
        </w:rPr>
        <w:t xml:space="preserve">    </w:t>
      </w:r>
      <w:r>
        <w:rPr>
          <w:rFonts w:hint="eastAsia" w:eastAsia="仿宋_GB2312" w:cs="仿宋_GB2312"/>
          <w:sz w:val="32"/>
          <w:szCs w:val="32"/>
        </w:rPr>
        <w:t>公用经费</w:t>
      </w:r>
      <w:r>
        <w:rPr>
          <w:rFonts w:hint="eastAsia" w:eastAsia="仿宋_GB2312" w:cs="仿宋_GB2312"/>
          <w:sz w:val="32"/>
          <w:szCs w:val="32"/>
          <w:lang w:val="en-US" w:eastAsia="zh-CN"/>
        </w:rPr>
        <w:t>45.6</w:t>
      </w:r>
      <w:r>
        <w:rPr>
          <w:rFonts w:hint="eastAsia" w:eastAsia="仿宋_GB2312" w:cs="仿宋_GB2312"/>
          <w:sz w:val="32"/>
          <w:szCs w:val="32"/>
        </w:rPr>
        <w:t>万元，主要包括：</w:t>
      </w:r>
      <w:r>
        <w:rPr>
          <w:rFonts w:hint="default" w:ascii="Times New Roman" w:hAnsi="Times New Roman" w:eastAsia="仿宋_GB2312" w:cs="Times New Roman"/>
          <w:color w:val="auto"/>
          <w:kern w:val="2"/>
          <w:sz w:val="32"/>
          <w:szCs w:val="32"/>
          <w:highlight w:val="none"/>
          <w:lang w:val="en-US" w:eastAsia="zh-CN" w:bidi="ar-SA"/>
        </w:rPr>
        <w:t>办公费</w:t>
      </w:r>
      <w:r>
        <w:rPr>
          <w:rFonts w:hint="eastAsia" w:ascii="Times New Roman" w:hAnsi="Times New Roman" w:eastAsia="仿宋_GB2312" w:cs="Times New Roman"/>
          <w:color w:val="auto"/>
          <w:kern w:val="2"/>
          <w:sz w:val="32"/>
          <w:szCs w:val="32"/>
          <w:highlight w:val="none"/>
          <w:lang w:val="en-US" w:eastAsia="zh-CN" w:bidi="ar-SA"/>
        </w:rPr>
        <w:t>4.78</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ascii="Times New Roman" w:hAnsi="Times New Roman" w:eastAsia="仿宋_GB2312" w:cs="Times New Roman"/>
          <w:color w:val="auto"/>
          <w:kern w:val="2"/>
          <w:sz w:val="32"/>
          <w:szCs w:val="32"/>
          <w:highlight w:val="none"/>
          <w:lang w:val="en-US" w:eastAsia="zh-CN" w:bidi="ar-SA"/>
        </w:rPr>
        <w:t>印刷费1.03万元、</w:t>
      </w:r>
      <w:r>
        <w:rPr>
          <w:rFonts w:hint="default" w:ascii="Times New Roman" w:hAnsi="Times New Roman" w:eastAsia="仿宋_GB2312" w:cs="Times New Roman"/>
          <w:color w:val="auto"/>
          <w:kern w:val="2"/>
          <w:sz w:val="32"/>
          <w:szCs w:val="32"/>
          <w:highlight w:val="none"/>
          <w:lang w:val="en-US" w:eastAsia="zh-CN" w:bidi="ar-SA"/>
        </w:rPr>
        <w:t>水费</w:t>
      </w:r>
      <w:r>
        <w:rPr>
          <w:rFonts w:hint="eastAsia" w:ascii="Times New Roman" w:hAnsi="Times New Roman" w:eastAsia="仿宋_GB2312" w:cs="Times New Roman"/>
          <w:color w:val="auto"/>
          <w:kern w:val="2"/>
          <w:sz w:val="32"/>
          <w:szCs w:val="32"/>
          <w:highlight w:val="none"/>
          <w:lang w:val="en-US" w:eastAsia="zh-CN" w:bidi="ar-SA"/>
        </w:rPr>
        <w:t>1.56</w:t>
      </w:r>
      <w:r>
        <w:rPr>
          <w:rFonts w:hint="default" w:ascii="Times New Roman" w:hAnsi="Times New Roman" w:eastAsia="仿宋_GB2312" w:cs="Times New Roman"/>
          <w:color w:val="auto"/>
          <w:kern w:val="2"/>
          <w:sz w:val="32"/>
          <w:szCs w:val="32"/>
          <w:highlight w:val="none"/>
          <w:lang w:val="en-US" w:eastAsia="zh-CN" w:bidi="ar-SA"/>
        </w:rPr>
        <w:t>万元、电费</w:t>
      </w:r>
      <w:r>
        <w:rPr>
          <w:rFonts w:hint="eastAsia" w:ascii="Times New Roman" w:hAnsi="Times New Roman" w:eastAsia="仿宋_GB2312" w:cs="Times New Roman"/>
          <w:color w:val="auto"/>
          <w:kern w:val="2"/>
          <w:sz w:val="32"/>
          <w:szCs w:val="32"/>
          <w:highlight w:val="none"/>
          <w:lang w:val="en-US" w:eastAsia="zh-CN" w:bidi="ar-SA"/>
        </w:rPr>
        <w:t>3.1</w:t>
      </w:r>
      <w:r>
        <w:rPr>
          <w:rFonts w:hint="default" w:ascii="Times New Roman" w:hAnsi="Times New Roman" w:eastAsia="仿宋_GB2312" w:cs="Times New Roman"/>
          <w:color w:val="auto"/>
          <w:kern w:val="2"/>
          <w:sz w:val="32"/>
          <w:szCs w:val="32"/>
          <w:highlight w:val="none"/>
          <w:lang w:val="en-US" w:eastAsia="zh-CN" w:bidi="ar-SA"/>
        </w:rPr>
        <w:t>万元、邮电费</w:t>
      </w:r>
      <w:r>
        <w:rPr>
          <w:rFonts w:hint="eastAsia" w:ascii="Times New Roman" w:hAnsi="Times New Roman" w:eastAsia="仿宋_GB2312" w:cs="Times New Roman"/>
          <w:color w:val="auto"/>
          <w:kern w:val="2"/>
          <w:sz w:val="32"/>
          <w:szCs w:val="32"/>
          <w:highlight w:val="none"/>
          <w:lang w:val="en-US" w:eastAsia="zh-CN" w:bidi="ar-SA"/>
        </w:rPr>
        <w:t>1.97</w:t>
      </w:r>
      <w:r>
        <w:rPr>
          <w:rFonts w:hint="default" w:ascii="Times New Roman" w:hAnsi="Times New Roman" w:eastAsia="仿宋_GB2312" w:cs="Times New Roman"/>
          <w:color w:val="auto"/>
          <w:kern w:val="2"/>
          <w:sz w:val="32"/>
          <w:szCs w:val="32"/>
          <w:highlight w:val="none"/>
          <w:lang w:val="en-US" w:eastAsia="zh-CN" w:bidi="ar-SA"/>
        </w:rPr>
        <w:t>万元、差旅费</w:t>
      </w:r>
      <w:r>
        <w:rPr>
          <w:rFonts w:hint="eastAsia" w:ascii="Times New Roman" w:hAnsi="Times New Roman" w:eastAsia="仿宋_GB2312" w:cs="Times New Roman"/>
          <w:color w:val="auto"/>
          <w:kern w:val="2"/>
          <w:sz w:val="32"/>
          <w:szCs w:val="32"/>
          <w:highlight w:val="none"/>
          <w:lang w:val="en-US" w:eastAsia="zh-CN" w:bidi="ar-SA"/>
        </w:rPr>
        <w:t>5.73</w:t>
      </w:r>
      <w:r>
        <w:rPr>
          <w:rFonts w:hint="default" w:ascii="Times New Roman" w:hAnsi="Times New Roman" w:eastAsia="仿宋_GB2312" w:cs="Times New Roman"/>
          <w:color w:val="auto"/>
          <w:kern w:val="2"/>
          <w:sz w:val="32"/>
          <w:szCs w:val="32"/>
          <w:highlight w:val="none"/>
          <w:lang w:val="en-US" w:eastAsia="zh-CN" w:bidi="ar-SA"/>
        </w:rPr>
        <w:t>万元、维修（护）费1.5</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万元、会议费0.2万元、培训费0.</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9万元、公务接待费0.1万元、劳务费1.</w:t>
      </w:r>
      <w:r>
        <w:rPr>
          <w:rFonts w:hint="eastAsia" w:ascii="Times New Roman" w:hAnsi="Times New Roman" w:eastAsia="仿宋_GB2312" w:cs="Times New Roman"/>
          <w:color w:val="auto"/>
          <w:kern w:val="2"/>
          <w:sz w:val="32"/>
          <w:szCs w:val="32"/>
          <w:highlight w:val="none"/>
          <w:lang w:val="en-US" w:eastAsia="zh-CN" w:bidi="ar-SA"/>
        </w:rPr>
        <w:t>74</w:t>
      </w:r>
      <w:r>
        <w:rPr>
          <w:rFonts w:hint="default" w:ascii="Times New Roman" w:hAnsi="Times New Roman" w:eastAsia="仿宋_GB2312" w:cs="Times New Roman"/>
          <w:color w:val="auto"/>
          <w:kern w:val="2"/>
          <w:sz w:val="32"/>
          <w:szCs w:val="32"/>
          <w:highlight w:val="none"/>
          <w:lang w:val="en-US" w:eastAsia="zh-CN" w:bidi="ar-SA"/>
        </w:rPr>
        <w:t>万元、委托业务费</w:t>
      </w:r>
      <w:r>
        <w:rPr>
          <w:rFonts w:hint="eastAsia" w:ascii="Times New Roman" w:hAnsi="Times New Roman" w:eastAsia="仿宋_GB2312" w:cs="Times New Roman"/>
          <w:color w:val="auto"/>
          <w:kern w:val="2"/>
          <w:sz w:val="32"/>
          <w:szCs w:val="32"/>
          <w:highlight w:val="none"/>
          <w:lang w:val="en-US" w:eastAsia="zh-CN" w:bidi="ar-SA"/>
        </w:rPr>
        <w:t>4.09</w:t>
      </w:r>
      <w:r>
        <w:rPr>
          <w:rFonts w:hint="default" w:ascii="Times New Roman" w:hAnsi="Times New Roman" w:eastAsia="仿宋_GB2312" w:cs="Times New Roman"/>
          <w:color w:val="auto"/>
          <w:kern w:val="2"/>
          <w:sz w:val="32"/>
          <w:szCs w:val="32"/>
          <w:highlight w:val="none"/>
          <w:lang w:val="en-US" w:eastAsia="zh-CN" w:bidi="ar-SA"/>
        </w:rPr>
        <w:t>万元、工会经费6.</w:t>
      </w:r>
      <w:r>
        <w:rPr>
          <w:rFonts w:hint="eastAsia" w:ascii="Times New Roman" w:hAnsi="Times New Roman" w:eastAsia="仿宋_GB2312" w:cs="Times New Roman"/>
          <w:color w:val="auto"/>
          <w:kern w:val="2"/>
          <w:sz w:val="32"/>
          <w:szCs w:val="32"/>
          <w:highlight w:val="none"/>
          <w:lang w:val="en-US" w:eastAsia="zh-CN" w:bidi="ar-SA"/>
        </w:rPr>
        <w:t>59</w:t>
      </w:r>
      <w:r>
        <w:rPr>
          <w:rFonts w:hint="default" w:ascii="Times New Roman" w:hAnsi="Times New Roman" w:eastAsia="仿宋_GB2312" w:cs="Times New Roman"/>
          <w:color w:val="auto"/>
          <w:kern w:val="2"/>
          <w:sz w:val="32"/>
          <w:szCs w:val="32"/>
          <w:highlight w:val="none"/>
          <w:lang w:val="en-US" w:eastAsia="zh-CN" w:bidi="ar-SA"/>
        </w:rPr>
        <w:t>万元、福利费3.</w:t>
      </w:r>
      <w:r>
        <w:rPr>
          <w:rFonts w:hint="eastAsia" w:ascii="Times New Roman" w:hAnsi="Times New Roman" w:eastAsia="仿宋_GB2312" w:cs="Times New Roman"/>
          <w:color w:val="auto"/>
          <w:kern w:val="2"/>
          <w:sz w:val="32"/>
          <w:szCs w:val="32"/>
          <w:highlight w:val="none"/>
          <w:lang w:val="en-US" w:eastAsia="zh-CN" w:bidi="ar-SA"/>
        </w:rPr>
        <w:t>72</w:t>
      </w:r>
      <w:r>
        <w:rPr>
          <w:rFonts w:hint="default" w:ascii="Times New Roman" w:hAnsi="Times New Roman" w:eastAsia="仿宋_GB2312" w:cs="Times New Roman"/>
          <w:color w:val="auto"/>
          <w:kern w:val="2"/>
          <w:sz w:val="32"/>
          <w:szCs w:val="32"/>
          <w:highlight w:val="none"/>
          <w:lang w:val="en-US" w:eastAsia="zh-CN" w:bidi="ar-SA"/>
        </w:rPr>
        <w:t>万元、公务用车运行维护费4.</w:t>
      </w:r>
      <w:r>
        <w:rPr>
          <w:rFonts w:hint="eastAsia" w:ascii="Times New Roman" w:hAnsi="Times New Roman" w:eastAsia="仿宋_GB2312" w:cs="Times New Roman"/>
          <w:color w:val="auto"/>
          <w:kern w:val="2"/>
          <w:sz w:val="32"/>
          <w:szCs w:val="32"/>
          <w:highlight w:val="none"/>
          <w:lang w:val="en-US" w:eastAsia="zh-CN" w:bidi="ar-SA"/>
        </w:rPr>
        <w:t>68</w:t>
      </w:r>
      <w:r>
        <w:rPr>
          <w:rFonts w:hint="default" w:ascii="Times New Roman" w:hAnsi="Times New Roman" w:eastAsia="仿宋_GB2312" w:cs="Times New Roman"/>
          <w:color w:val="auto"/>
          <w:kern w:val="2"/>
          <w:sz w:val="32"/>
          <w:szCs w:val="32"/>
          <w:highlight w:val="none"/>
          <w:lang w:val="en-US" w:eastAsia="zh-CN" w:bidi="ar-SA"/>
        </w:rPr>
        <w:t>万元、其他交通费1.44万元、其他商品和服务支出2.</w:t>
      </w:r>
      <w:r>
        <w:rPr>
          <w:rFonts w:hint="eastAsia" w:ascii="Times New Roman" w:hAnsi="Times New Roman" w:eastAsia="仿宋_GB2312" w:cs="Times New Roman"/>
          <w:color w:val="auto"/>
          <w:kern w:val="2"/>
          <w:sz w:val="32"/>
          <w:szCs w:val="32"/>
          <w:highlight w:val="none"/>
          <w:lang w:val="en-US" w:eastAsia="zh-CN" w:bidi="ar-SA"/>
        </w:rPr>
        <w:t>48</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ascii="Times New Roman" w:hAnsi="Times New Roman" w:eastAsia="仿宋_GB2312" w:cs="Times New Roman"/>
          <w:color w:val="auto"/>
          <w:kern w:val="2"/>
          <w:sz w:val="32"/>
          <w:szCs w:val="32"/>
          <w:highlight w:val="none"/>
          <w:lang w:val="en-US" w:eastAsia="zh-CN" w:bidi="ar-SA"/>
        </w:rPr>
        <w:t>、资本性支出0.54万元。</w:t>
      </w:r>
    </w:p>
    <w:p w14:paraId="06D537FD">
      <w:pPr>
        <w:spacing w:line="600" w:lineRule="exact"/>
        <w:ind w:firstLine="640"/>
        <w:outlineLvl w:val="1"/>
        <w:rPr>
          <w:rStyle w:val="29"/>
          <w:rFonts w:ascii="Times New Roman" w:hAnsi="Times New Roman" w:eastAsia="黑体"/>
          <w:b w:val="0"/>
        </w:rPr>
      </w:pPr>
      <w:bookmarkStart w:id="30" w:name="_Toc15396609"/>
      <w:bookmarkStart w:id="31" w:name="_Toc15377215"/>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0"/>
      <w:bookmarkEnd w:id="31"/>
    </w:p>
    <w:p w14:paraId="6682DB1B">
      <w:pPr>
        <w:spacing w:line="600" w:lineRule="exact"/>
        <w:ind w:firstLine="643" w:firstLineChars="200"/>
        <w:outlineLvl w:val="2"/>
        <w:rPr>
          <w:rFonts w:eastAsia="楷体_GB2312" w:cs="楷体_GB2312"/>
          <w:b/>
          <w:sz w:val="32"/>
          <w:szCs w:val="32"/>
        </w:rPr>
      </w:pPr>
      <w:bookmarkStart w:id="32" w:name="_Toc15377216"/>
      <w:r>
        <w:rPr>
          <w:rFonts w:hint="eastAsia" w:eastAsia="楷体_GB2312" w:cs="楷体_GB2312"/>
          <w:b/>
          <w:sz w:val="32"/>
          <w:szCs w:val="32"/>
        </w:rPr>
        <w:t>（一）财政拨款“三公”经费支出决算总体情况说明</w:t>
      </w:r>
      <w:bookmarkEnd w:id="32"/>
    </w:p>
    <w:p w14:paraId="0B025009">
      <w:pPr>
        <w:spacing w:line="600" w:lineRule="exact"/>
        <w:ind w:firstLine="640"/>
        <w:rPr>
          <w:rFonts w:eastAsia="仿宋_GB2312" w:cs="仿宋_GB2312"/>
          <w:b/>
          <w:bCs/>
          <w:sz w:val="32"/>
          <w:szCs w:val="32"/>
        </w:rPr>
      </w:pPr>
      <w:r>
        <w:rPr>
          <w:rFonts w:hint="eastAsia" w:eastAsia="仿宋_GB2312" w:cs="仿宋_GB2312"/>
          <w:sz w:val="32"/>
          <w:szCs w:val="32"/>
        </w:rPr>
        <w:t>2025年度财政拨款“三公”经费支出决算为</w:t>
      </w:r>
      <w:r>
        <w:rPr>
          <w:rFonts w:hint="eastAsia" w:eastAsia="仿宋_GB2312" w:cs="仿宋_GB2312"/>
          <w:sz w:val="32"/>
          <w:szCs w:val="32"/>
          <w:lang w:val="en-US" w:eastAsia="zh-CN"/>
        </w:rPr>
        <w:t>4.78</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%，较上年度减少</w:t>
      </w:r>
      <w:r>
        <w:rPr>
          <w:rFonts w:hint="eastAsia" w:eastAsia="仿宋_GB2312" w:cs="仿宋_GB2312"/>
          <w:sz w:val="32"/>
          <w:szCs w:val="32"/>
          <w:lang w:val="en-US" w:eastAsia="zh-CN"/>
        </w:rPr>
        <w:t>0.18</w:t>
      </w:r>
      <w:r>
        <w:rPr>
          <w:rFonts w:hint="eastAsia" w:eastAsia="仿宋_GB2312" w:cs="仿宋_GB2312"/>
          <w:sz w:val="32"/>
          <w:szCs w:val="32"/>
        </w:rPr>
        <w:t>万元，下降</w:t>
      </w:r>
      <w:r>
        <w:rPr>
          <w:rFonts w:hint="eastAsia" w:eastAsia="仿宋_GB2312" w:cs="仿宋_GB2312"/>
          <w:sz w:val="32"/>
          <w:szCs w:val="32"/>
          <w:lang w:val="en-US" w:eastAsia="zh-CN"/>
        </w:rPr>
        <w:t>3.6</w:t>
      </w:r>
      <w:r>
        <w:rPr>
          <w:rFonts w:hint="eastAsia" w:eastAsia="仿宋_GB2312" w:cs="仿宋_GB2312"/>
          <w:sz w:val="32"/>
          <w:szCs w:val="32"/>
        </w:rPr>
        <w:t>%。</w:t>
      </w:r>
    </w:p>
    <w:p w14:paraId="1DB0F96B">
      <w:pPr>
        <w:spacing w:line="600" w:lineRule="exact"/>
        <w:ind w:firstLine="643" w:firstLineChars="200"/>
        <w:outlineLvl w:val="2"/>
        <w:rPr>
          <w:rFonts w:eastAsia="楷体_GB2312" w:cs="楷体_GB2312"/>
          <w:b/>
          <w:sz w:val="32"/>
          <w:szCs w:val="32"/>
        </w:rPr>
      </w:pPr>
      <w:bookmarkStart w:id="33" w:name="_Toc15377217"/>
      <w:r>
        <w:rPr>
          <w:rFonts w:hint="eastAsia" w:eastAsia="楷体_GB2312" w:cs="楷体_GB2312"/>
          <w:b/>
          <w:sz w:val="32"/>
          <w:szCs w:val="32"/>
        </w:rPr>
        <w:t>（二）财政拨款“三公”经费支出决算具体情况说明</w:t>
      </w:r>
      <w:bookmarkEnd w:id="33"/>
    </w:p>
    <w:p w14:paraId="358A985C">
      <w:pPr>
        <w:spacing w:line="600" w:lineRule="exact"/>
        <w:ind w:firstLine="640"/>
        <w:rPr>
          <w:rFonts w:hint="eastAsia"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4.68</w:t>
      </w:r>
      <w:r>
        <w:rPr>
          <w:rFonts w:hint="eastAsia" w:eastAsia="仿宋_GB2312" w:cs="仿宋_GB2312"/>
          <w:sz w:val="32"/>
          <w:szCs w:val="32"/>
        </w:rPr>
        <w:t>万元，占</w:t>
      </w:r>
      <w:r>
        <w:rPr>
          <w:rFonts w:hint="eastAsia" w:eastAsia="仿宋_GB2312" w:cs="仿宋_GB2312"/>
          <w:sz w:val="32"/>
          <w:szCs w:val="32"/>
          <w:lang w:val="en-US" w:eastAsia="zh-CN"/>
        </w:rPr>
        <w:t>97.9</w:t>
      </w:r>
      <w:r>
        <w:rPr>
          <w:rFonts w:hint="eastAsia" w:eastAsia="仿宋_GB2312" w:cs="仿宋_GB2312"/>
          <w:sz w:val="32"/>
          <w:szCs w:val="32"/>
        </w:rPr>
        <w:t>%；公务接待费支出决算</w:t>
      </w:r>
      <w:r>
        <w:rPr>
          <w:rFonts w:hint="eastAsia" w:eastAsia="仿宋_GB2312" w:cs="仿宋_GB2312"/>
          <w:sz w:val="32"/>
          <w:szCs w:val="32"/>
          <w:lang w:val="en-US" w:eastAsia="zh-CN"/>
        </w:rPr>
        <w:t>0.1</w:t>
      </w:r>
      <w:r>
        <w:rPr>
          <w:rFonts w:hint="eastAsia" w:eastAsia="仿宋_GB2312" w:cs="仿宋_GB2312"/>
          <w:sz w:val="32"/>
          <w:szCs w:val="32"/>
        </w:rPr>
        <w:t>万元，占</w:t>
      </w:r>
      <w:r>
        <w:rPr>
          <w:rFonts w:hint="eastAsia" w:eastAsia="仿宋_GB2312" w:cs="仿宋_GB2312"/>
          <w:sz w:val="32"/>
          <w:szCs w:val="32"/>
          <w:lang w:val="en-US" w:eastAsia="zh-CN"/>
        </w:rPr>
        <w:t>2.1</w:t>
      </w:r>
      <w:r>
        <w:rPr>
          <w:rFonts w:hint="eastAsia" w:eastAsia="仿宋_GB2312" w:cs="仿宋_GB2312"/>
          <w:sz w:val="32"/>
          <w:szCs w:val="32"/>
        </w:rPr>
        <w:t>%。具体情况如下：</w:t>
      </w:r>
    </w:p>
    <w:p w14:paraId="321E755A">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eastAsia="仿宋_GB2312" w:cs="仿宋_GB2312"/>
          <w:sz w:val="32"/>
          <w:szCs w:val="32"/>
        </w:rPr>
      </w:pPr>
      <w:r>
        <w:drawing>
          <wp:inline distT="0" distB="0" distL="114300" distR="114300">
            <wp:extent cx="4139565" cy="2302510"/>
            <wp:effectExtent l="4445" t="4445" r="8890" b="17145"/>
            <wp:docPr id="718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47CD96">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全年安排因公出国（境）团组</w:t>
      </w:r>
      <w:r>
        <w:rPr>
          <w:rFonts w:hint="eastAsia"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eastAsia="仿宋_GB2312" w:cs="仿宋_GB2312"/>
          <w:sz w:val="32"/>
          <w:szCs w:val="32"/>
        </w:rPr>
        <w:t>人。</w:t>
      </w:r>
    </w:p>
    <w:p w14:paraId="072A99C0">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4.68</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公务用车购置及运行维护费支出决算比上年度减少</w:t>
      </w:r>
      <w:r>
        <w:rPr>
          <w:rFonts w:hint="eastAsia" w:eastAsia="仿宋_GB2312" w:cs="仿宋_GB2312"/>
          <w:sz w:val="32"/>
          <w:szCs w:val="32"/>
          <w:lang w:val="en-US" w:eastAsia="zh-CN"/>
        </w:rPr>
        <w:t>0.09</w:t>
      </w:r>
      <w:r>
        <w:rPr>
          <w:rFonts w:hint="eastAsia" w:eastAsia="仿宋_GB2312" w:cs="仿宋_GB2312"/>
          <w:sz w:val="32"/>
          <w:szCs w:val="32"/>
        </w:rPr>
        <w:t>万元，下降</w:t>
      </w:r>
      <w:r>
        <w:rPr>
          <w:rFonts w:hint="eastAsia" w:eastAsia="仿宋_GB2312" w:cs="仿宋_GB2312"/>
          <w:sz w:val="32"/>
          <w:szCs w:val="32"/>
          <w:lang w:val="en-US" w:eastAsia="zh-CN"/>
        </w:rPr>
        <w:t>1.9</w:t>
      </w:r>
      <w:r>
        <w:rPr>
          <w:rFonts w:hint="eastAsia" w:eastAsia="仿宋_GB2312" w:cs="仿宋_GB2312"/>
          <w:sz w:val="32"/>
          <w:szCs w:val="32"/>
        </w:rPr>
        <w:t>%。主要原因是</w:t>
      </w:r>
      <w:r>
        <w:rPr>
          <w:rFonts w:hint="default" w:ascii="Times New Roman" w:hAnsi="Times New Roman" w:eastAsia="仿宋_GB2312" w:cs="Times New Roman"/>
          <w:color w:val="auto"/>
          <w:sz w:val="32"/>
          <w:szCs w:val="32"/>
          <w:highlight w:val="none"/>
        </w:rPr>
        <w:t>加强</w:t>
      </w:r>
      <w:r>
        <w:rPr>
          <w:rFonts w:hint="default" w:ascii="Times New Roman" w:hAnsi="Times New Roman" w:eastAsia="仿宋_GB2312" w:cs="Times New Roman"/>
          <w:color w:val="auto"/>
          <w:sz w:val="32"/>
          <w:szCs w:val="32"/>
          <w:highlight w:val="none"/>
          <w:lang w:val="en-US" w:eastAsia="zh-CN"/>
        </w:rPr>
        <w:t>了</w:t>
      </w:r>
      <w:r>
        <w:rPr>
          <w:rFonts w:hint="default" w:ascii="Times New Roman" w:hAnsi="Times New Roman" w:eastAsia="仿宋_GB2312" w:cs="Times New Roman"/>
          <w:color w:val="auto"/>
          <w:sz w:val="32"/>
          <w:szCs w:val="32"/>
          <w:highlight w:val="none"/>
        </w:rPr>
        <w:t>公务用车</w:t>
      </w:r>
      <w:r>
        <w:rPr>
          <w:rFonts w:hint="eastAsia" w:eastAsia="仿宋_GB2312" w:cs="Times New Roman"/>
          <w:color w:val="auto"/>
          <w:sz w:val="32"/>
          <w:szCs w:val="32"/>
          <w:highlight w:val="none"/>
          <w:lang w:eastAsia="zh-CN"/>
        </w:rPr>
        <w:t>日常</w:t>
      </w:r>
      <w:r>
        <w:rPr>
          <w:rFonts w:hint="default" w:ascii="Times New Roman" w:hAnsi="Times New Roman" w:eastAsia="仿宋_GB2312" w:cs="Times New Roman"/>
          <w:color w:val="auto"/>
          <w:sz w:val="32"/>
          <w:szCs w:val="32"/>
          <w:highlight w:val="none"/>
        </w:rPr>
        <w:t>管理,</w:t>
      </w:r>
      <w:r>
        <w:rPr>
          <w:rFonts w:hint="default" w:ascii="Times New Roman" w:hAnsi="Times New Roman" w:eastAsia="仿宋_GB2312" w:cs="Times New Roman"/>
          <w:color w:val="auto"/>
          <w:sz w:val="32"/>
          <w:szCs w:val="32"/>
          <w:highlight w:val="none"/>
          <w:lang w:val="en-US" w:eastAsia="zh-CN"/>
        </w:rPr>
        <w:t>坚持</w:t>
      </w:r>
      <w:r>
        <w:rPr>
          <w:rFonts w:hint="default" w:ascii="Times New Roman" w:hAnsi="Times New Roman" w:eastAsia="仿宋_GB2312" w:cs="Times New Roman"/>
          <w:color w:val="auto"/>
          <w:sz w:val="32"/>
          <w:szCs w:val="32"/>
          <w:highlight w:val="none"/>
        </w:rPr>
        <w:t>节俭高效的原则,减少</w:t>
      </w:r>
      <w:r>
        <w:rPr>
          <w:rFonts w:hint="eastAsia" w:eastAsia="仿宋_GB2312" w:cs="Times New Roman"/>
          <w:color w:val="auto"/>
          <w:sz w:val="32"/>
          <w:szCs w:val="32"/>
          <w:highlight w:val="none"/>
          <w:lang w:eastAsia="zh-CN"/>
        </w:rPr>
        <w:t>公务用车运行维护费</w:t>
      </w:r>
      <w:r>
        <w:rPr>
          <w:rFonts w:hint="default" w:ascii="Times New Roman" w:hAnsi="Times New Roman" w:eastAsia="仿宋_GB2312" w:cs="Times New Roman"/>
          <w:color w:val="auto"/>
          <w:sz w:val="32"/>
          <w:szCs w:val="32"/>
          <w:highlight w:val="none"/>
        </w:rPr>
        <w:t>支出。</w:t>
      </w:r>
    </w:p>
    <w:p w14:paraId="2E8DA379">
      <w:pPr>
        <w:spacing w:line="600" w:lineRule="exact"/>
        <w:ind w:firstLine="640"/>
        <w:rPr>
          <w:rFonts w:eastAsia="仿宋_GB2312" w:cs="仿宋_GB2312"/>
          <w:sz w:val="32"/>
          <w:szCs w:val="32"/>
        </w:rPr>
      </w:pPr>
      <w:r>
        <w:rPr>
          <w:rFonts w:hint="eastAsia" w:eastAsia="仿宋_GB2312" w:cs="仿宋_GB2312"/>
          <w:sz w:val="32"/>
          <w:szCs w:val="32"/>
        </w:rPr>
        <w:t>其中：公务用车购置支出</w:t>
      </w:r>
      <w:r>
        <w:rPr>
          <w:rFonts w:hint="eastAsia"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万元，越野车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万元，载客汽车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万元。截至2025年12月31日，单位共有公务用车</w:t>
      </w:r>
      <w:r>
        <w:rPr>
          <w:rFonts w:hint="eastAsia" w:eastAsia="仿宋_GB2312" w:cs="仿宋_GB2312"/>
          <w:sz w:val="32"/>
          <w:szCs w:val="32"/>
          <w:lang w:val="en-US" w:eastAsia="zh-CN"/>
        </w:rPr>
        <w:t>3</w:t>
      </w:r>
      <w:r>
        <w:rPr>
          <w:rFonts w:hint="eastAsia" w:eastAsia="仿宋_GB2312" w:cs="仿宋_GB2312"/>
          <w:sz w:val="32"/>
          <w:szCs w:val="32"/>
        </w:rPr>
        <w:t>辆，其中：轿车</w:t>
      </w:r>
      <w:r>
        <w:rPr>
          <w:rFonts w:hint="eastAsia" w:eastAsia="仿宋_GB2312" w:cs="仿宋_GB2312"/>
          <w:sz w:val="32"/>
          <w:szCs w:val="32"/>
          <w:lang w:val="en-US" w:eastAsia="zh-CN"/>
        </w:rPr>
        <w:t>1</w:t>
      </w:r>
      <w:r>
        <w:rPr>
          <w:rFonts w:hint="eastAsia" w:eastAsia="仿宋_GB2312" w:cs="仿宋_GB2312"/>
          <w:sz w:val="32"/>
          <w:szCs w:val="32"/>
        </w:rPr>
        <w:t>辆、特种专业技术用车</w:t>
      </w:r>
      <w:r>
        <w:rPr>
          <w:rFonts w:hint="eastAsia" w:eastAsia="仿宋_GB2312" w:cs="仿宋_GB2312"/>
          <w:sz w:val="32"/>
          <w:szCs w:val="32"/>
          <w:lang w:val="en-US" w:eastAsia="zh-CN"/>
        </w:rPr>
        <w:t>2</w:t>
      </w:r>
      <w:r>
        <w:rPr>
          <w:rFonts w:hint="eastAsia" w:eastAsia="仿宋_GB2312" w:cs="仿宋_GB2312"/>
          <w:sz w:val="32"/>
          <w:szCs w:val="32"/>
        </w:rPr>
        <w:t>辆。</w:t>
      </w:r>
    </w:p>
    <w:p w14:paraId="5CFF3A00">
      <w:pPr>
        <w:spacing w:line="600" w:lineRule="exact"/>
        <w:ind w:firstLine="640"/>
        <w:rPr>
          <w:rFonts w:hint="default" w:ascii="Times New Roman" w:hAnsi="Times New Roman" w:eastAsia="仿宋_GB2312" w:cs="Times New Roman"/>
          <w:color w:val="auto"/>
          <w:sz w:val="32"/>
          <w:szCs w:val="32"/>
          <w:highlight w:val="none"/>
        </w:rPr>
      </w:pPr>
      <w:r>
        <w:rPr>
          <w:rFonts w:hint="eastAsia" w:eastAsia="仿宋_GB2312" w:cs="仿宋_GB2312"/>
          <w:sz w:val="32"/>
          <w:szCs w:val="32"/>
        </w:rPr>
        <w:t>公务用车运行维护费支出</w:t>
      </w:r>
      <w:r>
        <w:rPr>
          <w:rFonts w:hint="eastAsia" w:eastAsia="仿宋_GB2312" w:cs="仿宋_GB2312"/>
          <w:sz w:val="32"/>
          <w:szCs w:val="32"/>
          <w:lang w:val="en-US" w:eastAsia="zh-CN"/>
        </w:rPr>
        <w:t>4.68</w:t>
      </w:r>
      <w:r>
        <w:rPr>
          <w:rFonts w:hint="eastAsia" w:eastAsia="仿宋_GB2312" w:cs="仿宋_GB2312"/>
          <w:sz w:val="32"/>
          <w:szCs w:val="32"/>
        </w:rPr>
        <w:t>万元。</w:t>
      </w:r>
      <w:r>
        <w:rPr>
          <w:rFonts w:hint="default" w:ascii="Times New Roman" w:hAnsi="Times New Roman" w:eastAsia="仿宋_GB2312" w:cs="Times New Roman"/>
          <w:color w:val="auto"/>
          <w:sz w:val="32"/>
          <w:szCs w:val="32"/>
          <w:highlight w:val="none"/>
        </w:rPr>
        <w:t>主要用于</w:t>
      </w:r>
      <w:r>
        <w:rPr>
          <w:rFonts w:hint="default" w:ascii="Times New Roman" w:hAnsi="Times New Roman" w:eastAsia="仿宋_GB2312" w:cs="Times New Roman"/>
          <w:color w:val="auto"/>
          <w:sz w:val="32"/>
          <w:szCs w:val="32"/>
          <w:highlight w:val="none"/>
          <w:lang w:val="en-US" w:eastAsia="zh-CN"/>
        </w:rPr>
        <w:t>胜利水库、沙坝田水库工程及渠道检查、森林草原防灭火督导等所需</w:t>
      </w:r>
      <w:r>
        <w:rPr>
          <w:rFonts w:hint="default" w:ascii="Times New Roman" w:hAnsi="Times New Roman" w:eastAsia="仿宋_GB2312" w:cs="Times New Roman"/>
          <w:color w:val="auto"/>
          <w:sz w:val="32"/>
          <w:szCs w:val="32"/>
          <w:highlight w:val="none"/>
        </w:rPr>
        <w:t>的公务用车燃料费、维修费、过路过桥费、保险费等支出。</w:t>
      </w:r>
    </w:p>
    <w:p w14:paraId="5A1EA3D2">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eastAsia="仿宋_GB2312" w:cs="仿宋_GB2312"/>
          <w:b/>
          <w:bCs/>
          <w:sz w:val="32"/>
          <w:szCs w:val="32"/>
          <w:lang w:val="en-US" w:eastAsia="zh-CN"/>
        </w:rPr>
        <w:t>0.1</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公务接待费支出决算比上年度减少</w:t>
      </w:r>
      <w:r>
        <w:rPr>
          <w:rFonts w:hint="eastAsia" w:eastAsia="仿宋_GB2312" w:cs="仿宋_GB2312"/>
          <w:sz w:val="32"/>
          <w:szCs w:val="32"/>
          <w:lang w:val="en-US" w:eastAsia="zh-CN"/>
        </w:rPr>
        <w:t>0.09</w:t>
      </w:r>
      <w:r>
        <w:rPr>
          <w:rFonts w:hint="eastAsia" w:eastAsia="仿宋_GB2312" w:cs="仿宋_GB2312"/>
          <w:sz w:val="32"/>
          <w:szCs w:val="32"/>
        </w:rPr>
        <w:t>万元，下降</w:t>
      </w:r>
      <w:r>
        <w:rPr>
          <w:rFonts w:hint="eastAsia" w:eastAsia="仿宋_GB2312" w:cs="仿宋_GB2312"/>
          <w:sz w:val="32"/>
          <w:szCs w:val="32"/>
          <w:lang w:val="en-US" w:eastAsia="zh-CN"/>
        </w:rPr>
        <w:t>47.4</w:t>
      </w:r>
      <w:r>
        <w:rPr>
          <w:rFonts w:hint="eastAsia" w:eastAsia="仿宋_GB2312" w:cs="仿宋_GB2312"/>
          <w:sz w:val="32"/>
          <w:szCs w:val="32"/>
        </w:rPr>
        <w:t>%。主要原因是</w:t>
      </w:r>
      <w:r>
        <w:rPr>
          <w:rFonts w:hint="eastAsia" w:eastAsia="仿宋_GB2312" w:cs="仿宋_GB2312"/>
          <w:sz w:val="32"/>
          <w:szCs w:val="32"/>
          <w:lang w:eastAsia="zh-CN"/>
        </w:rPr>
        <w:t>贯彻节俭原则，严格控制公务接待支出</w:t>
      </w:r>
      <w:r>
        <w:rPr>
          <w:rFonts w:hint="eastAsia" w:eastAsia="仿宋_GB2312" w:cs="仿宋_GB2312"/>
          <w:sz w:val="32"/>
          <w:szCs w:val="32"/>
        </w:rPr>
        <w:t>。其中：</w:t>
      </w:r>
    </w:p>
    <w:p w14:paraId="6ECC22E8">
      <w:pPr>
        <w:spacing w:line="600" w:lineRule="exact"/>
        <w:ind w:firstLine="640"/>
        <w:rPr>
          <w:rFonts w:eastAsia="仿宋_GB2312" w:cs="仿宋_GB2312"/>
          <w:sz w:val="32"/>
          <w:szCs w:val="32"/>
        </w:rPr>
      </w:pPr>
      <w:r>
        <w:rPr>
          <w:rFonts w:hint="eastAsia" w:eastAsia="仿宋_GB2312" w:cs="仿宋_GB2312"/>
          <w:sz w:val="32"/>
          <w:szCs w:val="32"/>
        </w:rPr>
        <w:t>国内公务接待支出</w:t>
      </w:r>
      <w:r>
        <w:rPr>
          <w:rFonts w:hint="eastAsia" w:eastAsia="仿宋_GB2312" w:cs="仿宋_GB2312"/>
          <w:sz w:val="32"/>
          <w:szCs w:val="32"/>
          <w:lang w:val="en-US" w:eastAsia="zh-CN"/>
        </w:rPr>
        <w:t>0.1</w:t>
      </w:r>
      <w:r>
        <w:rPr>
          <w:rFonts w:hint="eastAsia" w:eastAsia="仿宋_GB2312" w:cs="仿宋_GB2312"/>
          <w:sz w:val="32"/>
          <w:szCs w:val="32"/>
        </w:rPr>
        <w:t>万元，主要用于执行公务、开展业务活动开支的交通费、住宿费、用餐费等。国内公务接待</w:t>
      </w:r>
      <w:r>
        <w:rPr>
          <w:rFonts w:hint="eastAsia" w:eastAsia="仿宋_GB2312" w:cs="仿宋_GB2312"/>
          <w:sz w:val="32"/>
          <w:szCs w:val="32"/>
          <w:lang w:val="en-US" w:eastAsia="zh-CN"/>
        </w:rPr>
        <w:t>1</w:t>
      </w:r>
      <w:r>
        <w:rPr>
          <w:rFonts w:hint="eastAsia" w:eastAsia="仿宋_GB2312" w:cs="仿宋_GB2312"/>
          <w:sz w:val="32"/>
          <w:szCs w:val="32"/>
        </w:rPr>
        <w:t>批次，</w:t>
      </w:r>
      <w:r>
        <w:rPr>
          <w:rFonts w:hint="eastAsia" w:eastAsia="仿宋_GB2312" w:cs="仿宋_GB2312"/>
          <w:sz w:val="32"/>
          <w:szCs w:val="32"/>
          <w:lang w:val="en-US" w:eastAsia="zh-CN"/>
        </w:rPr>
        <w:t>15</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0.1</w:t>
      </w:r>
      <w:r>
        <w:rPr>
          <w:rFonts w:hint="eastAsia" w:eastAsia="仿宋_GB2312" w:cs="仿宋_GB2312"/>
          <w:sz w:val="32"/>
          <w:szCs w:val="32"/>
        </w:rPr>
        <w:t>万元，具体内容包括：省水利科学研究院来攀调研水库建设管理与安全运行工作接待费</w:t>
      </w:r>
      <w:r>
        <w:rPr>
          <w:rFonts w:hint="eastAsia" w:eastAsia="仿宋_GB2312" w:cs="仿宋_GB2312"/>
          <w:sz w:val="32"/>
          <w:szCs w:val="32"/>
          <w:lang w:val="en-US" w:eastAsia="zh-CN"/>
        </w:rPr>
        <w:t>0.1万元</w:t>
      </w:r>
      <w:r>
        <w:rPr>
          <w:rFonts w:hint="eastAsia" w:eastAsia="仿宋_GB2312" w:cs="仿宋_GB2312"/>
          <w:sz w:val="32"/>
          <w:szCs w:val="32"/>
        </w:rPr>
        <w:t>。</w:t>
      </w:r>
    </w:p>
    <w:p w14:paraId="0F9610AD">
      <w:pPr>
        <w:spacing w:line="600" w:lineRule="exact"/>
        <w:ind w:firstLine="640"/>
        <w:rPr>
          <w:rFonts w:eastAsia="仿宋_GB2312" w:cs="仿宋_GB2312"/>
          <w:sz w:val="32"/>
          <w:szCs w:val="32"/>
        </w:rPr>
      </w:pPr>
      <w:r>
        <w:rPr>
          <w:rFonts w:hint="eastAsia" w:eastAsia="仿宋_GB2312" w:cs="仿宋_GB2312"/>
          <w:sz w:val="32"/>
          <w:szCs w:val="32"/>
        </w:rPr>
        <w:t>外事接待支出</w:t>
      </w:r>
      <w:r>
        <w:rPr>
          <w:rFonts w:hint="eastAsia" w:eastAsia="仿宋_GB2312" w:cs="仿宋_GB2312"/>
          <w:sz w:val="32"/>
          <w:szCs w:val="32"/>
          <w:lang w:val="en-US" w:eastAsia="zh-CN"/>
        </w:rPr>
        <w:t>0</w:t>
      </w:r>
      <w:r>
        <w:rPr>
          <w:rFonts w:hint="eastAsia" w:eastAsia="仿宋_GB2312" w:cs="仿宋_GB2312"/>
          <w:sz w:val="32"/>
          <w:szCs w:val="32"/>
        </w:rPr>
        <w:t>万元。外事接待</w:t>
      </w:r>
      <w:r>
        <w:rPr>
          <w:rFonts w:hint="eastAsia" w:eastAsia="仿宋_GB2312" w:cs="仿宋_GB2312"/>
          <w:sz w:val="32"/>
          <w:szCs w:val="32"/>
          <w:lang w:val="en-US" w:eastAsia="zh-CN"/>
        </w:rPr>
        <w:t>0</w:t>
      </w:r>
      <w:r>
        <w:rPr>
          <w:rFonts w:hint="eastAsia" w:eastAsia="仿宋_GB2312" w:cs="仿宋_GB2312"/>
          <w:sz w:val="32"/>
          <w:szCs w:val="32"/>
        </w:rPr>
        <w:t>批次，</w:t>
      </w:r>
      <w:r>
        <w:rPr>
          <w:rFonts w:hint="eastAsia" w:eastAsia="仿宋_GB2312" w:cs="仿宋_GB2312"/>
          <w:sz w:val="32"/>
          <w:szCs w:val="32"/>
          <w:lang w:val="en-US" w:eastAsia="zh-CN"/>
        </w:rPr>
        <w:t>0</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w:t>
      </w:r>
      <w:r>
        <w:rPr>
          <w:rFonts w:hint="eastAsia" w:eastAsia="仿宋_GB2312" w:cs="仿宋_GB2312"/>
          <w:sz w:val="32"/>
          <w:szCs w:val="32"/>
        </w:rPr>
        <w:t>万元。</w:t>
      </w:r>
      <w:bookmarkStart w:id="34" w:name="_Toc15377218"/>
      <w:bookmarkStart w:id="35" w:name="_Toc15396610"/>
    </w:p>
    <w:p w14:paraId="1F069489">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34"/>
      <w:bookmarkEnd w:id="35"/>
    </w:p>
    <w:p w14:paraId="17DC4A4C">
      <w:pPr>
        <w:spacing w:line="600" w:lineRule="exact"/>
        <w:ind w:firstLine="640" w:firstLineChars="200"/>
        <w:outlineLvl w:val="1"/>
        <w:rPr>
          <w:rFonts w:hint="default" w:eastAsia="仿宋_GB2312" w:cs="仿宋_GB2312"/>
          <w:sz w:val="32"/>
          <w:szCs w:val="32"/>
          <w:lang w:val="en-US"/>
        </w:rPr>
      </w:pPr>
      <w:r>
        <w:rPr>
          <w:rFonts w:hint="eastAsia" w:eastAsia="仿宋_GB2312" w:cs="仿宋_GB2312"/>
          <w:sz w:val="32"/>
          <w:szCs w:val="32"/>
        </w:rPr>
        <w:t>2025年度政府性基金预算财政拨款支出</w:t>
      </w:r>
      <w:r>
        <w:rPr>
          <w:rFonts w:hint="eastAsia" w:eastAsia="仿宋_GB2312" w:cs="仿宋_GB2312"/>
          <w:sz w:val="32"/>
          <w:szCs w:val="32"/>
          <w:lang w:val="en-US" w:eastAsia="zh-CN"/>
        </w:rPr>
        <w:t>29.96</w:t>
      </w:r>
      <w:r>
        <w:rPr>
          <w:rFonts w:hint="eastAsia" w:eastAsia="仿宋_GB2312" w:cs="仿宋_GB2312"/>
          <w:sz w:val="32"/>
          <w:szCs w:val="32"/>
        </w:rPr>
        <w:t>万元，占本年支出合计的</w:t>
      </w:r>
      <w:r>
        <w:rPr>
          <w:rFonts w:hint="eastAsia" w:eastAsia="仿宋_GB2312" w:cs="仿宋_GB2312"/>
          <w:sz w:val="32"/>
          <w:szCs w:val="32"/>
          <w:lang w:val="en-US" w:eastAsia="zh-CN"/>
        </w:rPr>
        <w:t>4</w:t>
      </w:r>
      <w:r>
        <w:rPr>
          <w:rFonts w:hint="eastAsia" w:eastAsia="仿宋_GB2312" w:cs="仿宋_GB2312"/>
          <w:sz w:val="32"/>
          <w:szCs w:val="32"/>
        </w:rPr>
        <w:t>%。与上年度相比，政府性基金预算财政拨款支出减少</w:t>
      </w:r>
      <w:r>
        <w:rPr>
          <w:rFonts w:hint="eastAsia" w:eastAsia="仿宋_GB2312" w:cs="仿宋_GB2312"/>
          <w:sz w:val="32"/>
          <w:szCs w:val="32"/>
          <w:lang w:val="en-US" w:eastAsia="zh-CN"/>
        </w:rPr>
        <w:t>28.39</w:t>
      </w:r>
      <w:r>
        <w:rPr>
          <w:rFonts w:hint="eastAsia" w:eastAsia="仿宋_GB2312" w:cs="仿宋_GB2312"/>
          <w:sz w:val="32"/>
          <w:szCs w:val="32"/>
        </w:rPr>
        <w:t>万元，下降</w:t>
      </w:r>
      <w:r>
        <w:rPr>
          <w:rFonts w:hint="eastAsia" w:eastAsia="仿宋_GB2312" w:cs="仿宋_GB2312"/>
          <w:sz w:val="32"/>
          <w:szCs w:val="32"/>
          <w:lang w:val="en-US" w:eastAsia="zh-CN"/>
        </w:rPr>
        <w:t>48.7</w:t>
      </w:r>
      <w:r>
        <w:rPr>
          <w:rFonts w:hint="eastAsia" w:eastAsia="仿宋_GB2312" w:cs="仿宋_GB2312"/>
          <w:sz w:val="32"/>
          <w:szCs w:val="32"/>
        </w:rPr>
        <w:t>%。主要变动原因是</w:t>
      </w:r>
      <w:bookmarkStart w:id="36" w:name="_Toc15377219"/>
      <w:bookmarkStart w:id="37" w:name="_Toc15396611"/>
      <w:r>
        <w:rPr>
          <w:rFonts w:hint="default" w:ascii="Times New Roman" w:hAnsi="Times New Roman" w:eastAsia="仿宋_GB2312" w:cs="Times New Roman"/>
          <w:color w:val="auto"/>
          <w:kern w:val="2"/>
          <w:sz w:val="32"/>
          <w:szCs w:val="32"/>
          <w:highlight w:val="none"/>
          <w:lang w:val="en-US" w:eastAsia="zh-CN" w:bidi="ar-SA"/>
        </w:rPr>
        <w:t>2024年年中追加政府性基金用于支付胜利水库水资源保护涵养林项目款、胜利水库水源地巡查道路硬化工程款等</w:t>
      </w:r>
      <w:r>
        <w:rPr>
          <w:rFonts w:hint="eastAsia" w:ascii="Times New Roman" w:hAnsi="Times New Roman" w:eastAsia="仿宋_GB2312" w:cs="Times New Roman"/>
          <w:color w:val="auto"/>
          <w:kern w:val="2"/>
          <w:sz w:val="32"/>
          <w:szCs w:val="32"/>
          <w:highlight w:val="none"/>
          <w:lang w:val="en-US" w:eastAsia="zh-CN" w:bidi="ar-SA"/>
        </w:rPr>
        <w:t>，2025年严格按照年初预算批复执行，无追加政府性基金</w:t>
      </w:r>
      <w:r>
        <w:rPr>
          <w:rFonts w:hint="eastAsia" w:eastAsia="仿宋_GB2312" w:cs="Times New Roman"/>
          <w:color w:val="auto"/>
          <w:kern w:val="2"/>
          <w:sz w:val="32"/>
          <w:szCs w:val="32"/>
          <w:highlight w:val="none"/>
          <w:lang w:val="en-US" w:eastAsia="zh-CN" w:bidi="ar-SA"/>
        </w:rPr>
        <w:t>预算</w:t>
      </w:r>
      <w:r>
        <w:rPr>
          <w:rFonts w:hint="eastAsia" w:ascii="Times New Roman" w:hAnsi="Times New Roman" w:eastAsia="仿宋_GB2312" w:cs="Times New Roman"/>
          <w:color w:val="auto"/>
          <w:kern w:val="2"/>
          <w:sz w:val="32"/>
          <w:szCs w:val="32"/>
          <w:highlight w:val="none"/>
          <w:lang w:val="en-US" w:eastAsia="zh-CN" w:bidi="ar-SA"/>
        </w:rPr>
        <w:t>。</w:t>
      </w:r>
    </w:p>
    <w:p w14:paraId="10D88B8B">
      <w:pPr>
        <w:spacing w:line="600" w:lineRule="exact"/>
        <w:ind w:left="630"/>
        <w:outlineLvl w:val="1"/>
        <w:rPr>
          <w:rStyle w:val="29"/>
          <w:rFonts w:ascii="Times New Roman" w:hAnsi="Times New Roman" w:eastAsia="黑体"/>
          <w:b w:val="0"/>
        </w:rPr>
      </w:pPr>
      <w:r>
        <w:rPr>
          <w:rStyle w:val="29"/>
          <w:rFonts w:hint="eastAsia" w:ascii="Times New Roman" w:hAnsi="Times New Roman" w:eastAsia="黑体"/>
          <w:b w:val="0"/>
        </w:rPr>
        <w:t>九、国有资本经营预算支出决算情况说明</w:t>
      </w:r>
      <w:bookmarkEnd w:id="36"/>
      <w:bookmarkEnd w:id="37"/>
    </w:p>
    <w:p w14:paraId="06B31F38">
      <w:pPr>
        <w:numPr>
          <w:ilvl w:val="0"/>
          <w:numId w:val="0"/>
        </w:numPr>
        <w:spacing w:line="600" w:lineRule="exact"/>
        <w:ind w:firstLine="640" w:firstLineChars="200"/>
        <w:outlineLvl w:val="1"/>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仿宋_GB2312"/>
          <w:sz w:val="32"/>
          <w:szCs w:val="32"/>
        </w:rPr>
        <w:t>2025年度国有资本经营预算财政拨款支出</w:t>
      </w:r>
      <w:r>
        <w:rPr>
          <w:rFonts w:hint="eastAsia" w:eastAsia="仿宋_GB2312" w:cs="仿宋_GB2312"/>
          <w:sz w:val="32"/>
          <w:szCs w:val="32"/>
          <w:lang w:val="en-US" w:eastAsia="zh-CN"/>
        </w:rPr>
        <w:t>0</w:t>
      </w:r>
      <w:r>
        <w:rPr>
          <w:rFonts w:hint="eastAsia" w:eastAsia="仿宋_GB2312" w:cs="仿宋_GB2312"/>
          <w:sz w:val="32"/>
          <w:szCs w:val="32"/>
        </w:rPr>
        <w:t>万元，占本年支出合计的</w:t>
      </w:r>
      <w:r>
        <w:rPr>
          <w:rFonts w:hint="eastAsia" w:eastAsia="仿宋_GB2312" w:cs="仿宋_GB2312"/>
          <w:sz w:val="32"/>
          <w:szCs w:val="32"/>
          <w:lang w:val="en-US" w:eastAsia="zh-CN"/>
        </w:rPr>
        <w:t>0</w:t>
      </w:r>
      <w:r>
        <w:rPr>
          <w:rFonts w:hint="eastAsia" w:eastAsia="仿宋_GB2312" w:cs="仿宋_GB2312"/>
          <w:sz w:val="32"/>
          <w:szCs w:val="32"/>
        </w:rPr>
        <w:t>%。</w:t>
      </w:r>
      <w:bookmarkStart w:id="38" w:name="_Toc15396612"/>
      <w:bookmarkStart w:id="39" w:name="_Toc15377221"/>
      <w:r>
        <w:rPr>
          <w:rFonts w:hint="default" w:ascii="Times New Roman" w:hAnsi="Times New Roman" w:eastAsia="仿宋_GB2312" w:cs="Times New Roman"/>
          <w:color w:val="auto"/>
          <w:kern w:val="2"/>
          <w:sz w:val="32"/>
          <w:szCs w:val="32"/>
          <w:highlight w:val="none"/>
          <w:lang w:val="en-US" w:eastAsia="zh-CN" w:bidi="ar-SA"/>
        </w:rPr>
        <w:t>国有资本经营预算支出决算与202</w:t>
      </w: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年相比无变化。</w:t>
      </w:r>
    </w:p>
    <w:p w14:paraId="5ED3D3F9">
      <w:pPr>
        <w:spacing w:line="600" w:lineRule="exact"/>
        <w:ind w:left="630"/>
        <w:outlineLvl w:val="1"/>
        <w:rPr>
          <w:rStyle w:val="29"/>
          <w:rFonts w:ascii="Times New Roman" w:hAnsi="Times New Roman" w:eastAsia="黑体"/>
          <w:b w:val="0"/>
        </w:rPr>
      </w:pPr>
      <w:r>
        <w:rPr>
          <w:rStyle w:val="29"/>
          <w:rFonts w:hint="eastAsia" w:ascii="Times New Roman" w:hAnsi="Times New Roman" w:eastAsia="黑体"/>
          <w:b w:val="0"/>
        </w:rPr>
        <w:t>十、其他重要事项的情况说明</w:t>
      </w:r>
      <w:bookmarkEnd w:id="38"/>
      <w:bookmarkEnd w:id="39"/>
    </w:p>
    <w:p w14:paraId="5DD0945E">
      <w:pPr>
        <w:spacing w:line="600" w:lineRule="exact"/>
        <w:ind w:firstLine="643" w:firstLineChars="200"/>
        <w:outlineLvl w:val="2"/>
        <w:rPr>
          <w:rFonts w:eastAsia="楷体_GB2312" w:cs="楷体_GB2312"/>
          <w:b/>
          <w:sz w:val="32"/>
          <w:szCs w:val="32"/>
        </w:rPr>
      </w:pPr>
      <w:bookmarkStart w:id="40" w:name="_Toc15377222"/>
      <w:r>
        <w:rPr>
          <w:rFonts w:hint="eastAsia" w:eastAsia="楷体_GB2312" w:cs="楷体_GB2312"/>
          <w:b/>
          <w:sz w:val="32"/>
          <w:szCs w:val="32"/>
        </w:rPr>
        <w:t>（一）机关运行经费支出情况</w:t>
      </w:r>
      <w:bookmarkEnd w:id="40"/>
    </w:p>
    <w:p w14:paraId="1B3CD9EC">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eastAsia="仿宋_GB2312" w:cs="仿宋_GB2312"/>
          <w:sz w:val="32"/>
          <w:szCs w:val="32"/>
          <w:lang w:eastAsia="zh-CN"/>
        </w:rPr>
        <w:t>攀枝花市胜利水利工程运行中心</w:t>
      </w:r>
      <w:r>
        <w:rPr>
          <w:rFonts w:hint="eastAsia" w:eastAsia="仿宋_GB2312" w:cs="仿宋_GB2312"/>
          <w:sz w:val="32"/>
          <w:szCs w:val="32"/>
        </w:rPr>
        <w:t>机关运行经费支出</w:t>
      </w:r>
      <w:r>
        <w:rPr>
          <w:rFonts w:hint="eastAsia" w:eastAsia="仿宋_GB2312" w:cs="仿宋_GB2312"/>
          <w:sz w:val="32"/>
          <w:szCs w:val="32"/>
          <w:lang w:val="en-US" w:eastAsia="zh-CN"/>
        </w:rPr>
        <w:t>0</w:t>
      </w:r>
      <w:r>
        <w:rPr>
          <w:rFonts w:hint="eastAsia" w:eastAsia="仿宋_GB2312" w:cs="仿宋_GB2312"/>
          <w:sz w:val="32"/>
          <w:szCs w:val="32"/>
        </w:rPr>
        <w:t>万元，主要原因是</w:t>
      </w:r>
      <w:r>
        <w:rPr>
          <w:rFonts w:hint="default" w:ascii="Times New Roman" w:hAnsi="Times New Roman" w:eastAsia="仿宋_GB2312" w:cs="Times New Roman"/>
          <w:color w:val="auto"/>
          <w:sz w:val="32"/>
          <w:szCs w:val="32"/>
          <w:highlight w:val="none"/>
          <w:lang w:val="en-US" w:eastAsia="zh-CN"/>
        </w:rPr>
        <w:t>我单位为事业单位，无</w:t>
      </w:r>
      <w:r>
        <w:rPr>
          <w:rFonts w:hint="default" w:ascii="Times New Roman" w:hAnsi="Times New Roman" w:eastAsia="仿宋_GB2312" w:cs="Times New Roman"/>
          <w:color w:val="auto"/>
          <w:sz w:val="32"/>
          <w:szCs w:val="32"/>
          <w:highlight w:val="none"/>
        </w:rPr>
        <w:t>机关运行经费支出</w:t>
      </w:r>
      <w:r>
        <w:rPr>
          <w:rFonts w:hint="default" w:ascii="Times New Roman" w:hAnsi="Times New Roman" w:eastAsia="仿宋_GB2312" w:cs="Times New Roman"/>
          <w:color w:val="auto"/>
          <w:sz w:val="32"/>
          <w:szCs w:val="32"/>
          <w:highlight w:val="none"/>
          <w:lang w:eastAsia="zh-CN"/>
        </w:rPr>
        <w:t>。</w:t>
      </w:r>
    </w:p>
    <w:p w14:paraId="4E7843E3">
      <w:pPr>
        <w:spacing w:line="600" w:lineRule="exact"/>
        <w:ind w:firstLine="643" w:firstLineChars="200"/>
        <w:outlineLvl w:val="2"/>
        <w:rPr>
          <w:rFonts w:eastAsia="楷体_GB2312" w:cs="楷体_GB2312"/>
          <w:b/>
          <w:sz w:val="32"/>
          <w:szCs w:val="32"/>
        </w:rPr>
      </w:pPr>
      <w:bookmarkStart w:id="41" w:name="_Toc15377223"/>
      <w:r>
        <w:rPr>
          <w:rFonts w:hint="eastAsia" w:eastAsia="楷体_GB2312" w:cs="楷体_GB2312"/>
          <w:b/>
          <w:sz w:val="32"/>
          <w:szCs w:val="32"/>
        </w:rPr>
        <w:t>（二）政府采购支出情况</w:t>
      </w:r>
      <w:bookmarkEnd w:id="41"/>
    </w:p>
    <w:p w14:paraId="368AE553">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eastAsia="仿宋_GB2312" w:cs="仿宋_GB2312"/>
          <w:sz w:val="32"/>
          <w:szCs w:val="32"/>
          <w:lang w:eastAsia="zh-CN"/>
        </w:rPr>
        <w:t>攀枝花市胜利水利工程运行中心</w:t>
      </w:r>
      <w:r>
        <w:rPr>
          <w:rFonts w:hint="eastAsia" w:eastAsia="仿宋_GB2312" w:cs="仿宋_GB2312"/>
          <w:sz w:val="32"/>
          <w:szCs w:val="32"/>
        </w:rPr>
        <w:t>政府采购支出总额</w:t>
      </w:r>
      <w:r>
        <w:rPr>
          <w:rFonts w:hint="eastAsia" w:eastAsia="仿宋_GB2312" w:cs="仿宋_GB2312"/>
          <w:sz w:val="32"/>
          <w:szCs w:val="32"/>
          <w:lang w:val="en-US" w:eastAsia="zh-CN"/>
        </w:rPr>
        <w:t>4.86</w:t>
      </w:r>
      <w:r>
        <w:rPr>
          <w:rFonts w:hint="eastAsia" w:eastAsia="仿宋_GB2312" w:cs="仿宋_GB2312"/>
          <w:sz w:val="32"/>
          <w:szCs w:val="32"/>
        </w:rPr>
        <w:t>万元，其中：政府采购货物支出</w:t>
      </w:r>
      <w:r>
        <w:rPr>
          <w:rFonts w:hint="eastAsia" w:eastAsia="仿宋_GB2312" w:cs="仿宋_GB2312"/>
          <w:sz w:val="32"/>
          <w:szCs w:val="32"/>
          <w:lang w:val="en-US" w:eastAsia="zh-CN"/>
        </w:rPr>
        <w:t>0.3</w:t>
      </w:r>
      <w:r>
        <w:rPr>
          <w:rFonts w:hint="eastAsia" w:eastAsia="仿宋_GB2312" w:cs="仿宋_GB2312"/>
          <w:sz w:val="32"/>
          <w:szCs w:val="32"/>
        </w:rPr>
        <w:t>万元、政府采购工程支出</w:t>
      </w:r>
      <w:r>
        <w:rPr>
          <w:rFonts w:hint="eastAsia" w:eastAsia="仿宋_GB2312" w:cs="仿宋_GB2312"/>
          <w:sz w:val="32"/>
          <w:szCs w:val="32"/>
          <w:lang w:val="en-US" w:eastAsia="zh-CN"/>
        </w:rPr>
        <w:t>0</w:t>
      </w:r>
      <w:r>
        <w:rPr>
          <w:rFonts w:hint="eastAsia" w:eastAsia="仿宋_GB2312" w:cs="仿宋_GB2312"/>
          <w:sz w:val="32"/>
          <w:szCs w:val="32"/>
        </w:rPr>
        <w:t>万元、政府采购服务支出</w:t>
      </w:r>
      <w:r>
        <w:rPr>
          <w:rFonts w:hint="eastAsia" w:eastAsia="仿宋_GB2312" w:cs="仿宋_GB2312"/>
          <w:sz w:val="32"/>
          <w:szCs w:val="32"/>
          <w:lang w:val="en-US" w:eastAsia="zh-CN"/>
        </w:rPr>
        <w:t>4.56</w:t>
      </w:r>
      <w:r>
        <w:rPr>
          <w:rFonts w:hint="eastAsia" w:eastAsia="仿宋_GB2312" w:cs="仿宋_GB2312"/>
          <w:sz w:val="32"/>
          <w:szCs w:val="32"/>
        </w:rPr>
        <w:t>万元。主要用于</w:t>
      </w:r>
      <w:r>
        <w:rPr>
          <w:rFonts w:hint="eastAsia" w:eastAsia="仿宋_GB2312" w:cs="仿宋_GB2312"/>
          <w:sz w:val="32"/>
          <w:szCs w:val="32"/>
          <w:lang w:eastAsia="zh-CN"/>
        </w:rPr>
        <w:t>为新入职人员购买打印机，</w:t>
      </w:r>
      <w:r>
        <w:rPr>
          <w:rFonts w:hint="default" w:ascii="Times New Roman" w:hAnsi="Times New Roman" w:eastAsia="仿宋_GB2312" w:cs="Times New Roman"/>
          <w:color w:val="auto"/>
          <w:kern w:val="2"/>
          <w:sz w:val="32"/>
          <w:szCs w:val="32"/>
          <w:highlight w:val="none"/>
          <w:lang w:val="en-US" w:eastAsia="zh-CN" w:bidi="ar-SA"/>
        </w:rPr>
        <w:t>公务车日常维修保养、加油、购买保险等</w:t>
      </w:r>
      <w:r>
        <w:rPr>
          <w:rFonts w:hint="eastAsia" w:eastAsia="仿宋_GB2312" w:cs="仿宋_GB2312"/>
          <w:sz w:val="32"/>
          <w:szCs w:val="32"/>
        </w:rPr>
        <w:t>。授予中小企业合同金额</w:t>
      </w:r>
      <w:r>
        <w:rPr>
          <w:rFonts w:hint="eastAsia" w:eastAsia="仿宋_GB2312" w:cs="仿宋_GB2312"/>
          <w:sz w:val="32"/>
          <w:szCs w:val="32"/>
          <w:lang w:val="en-US" w:eastAsia="zh-CN"/>
        </w:rPr>
        <w:t>4.32</w:t>
      </w:r>
      <w:r>
        <w:rPr>
          <w:rFonts w:hint="eastAsia" w:eastAsia="仿宋_GB2312" w:cs="仿宋_GB2312"/>
          <w:sz w:val="32"/>
          <w:szCs w:val="32"/>
        </w:rPr>
        <w:t>万元，占政府采购支出总额的</w:t>
      </w:r>
      <w:r>
        <w:rPr>
          <w:rFonts w:hint="eastAsia" w:eastAsia="仿宋_GB2312" w:cs="仿宋_GB2312"/>
          <w:sz w:val="32"/>
          <w:szCs w:val="32"/>
          <w:lang w:val="en-US" w:eastAsia="zh-CN"/>
        </w:rPr>
        <w:t>88.9</w:t>
      </w:r>
      <w:r>
        <w:rPr>
          <w:rFonts w:hint="eastAsia" w:eastAsia="仿宋_GB2312" w:cs="仿宋_GB2312"/>
          <w:sz w:val="32"/>
          <w:szCs w:val="32"/>
        </w:rPr>
        <w:t>%，其中：授予小微企业合同金额</w:t>
      </w:r>
      <w:r>
        <w:rPr>
          <w:rFonts w:hint="eastAsia" w:eastAsia="仿宋_GB2312" w:cs="仿宋_GB2312"/>
          <w:sz w:val="32"/>
          <w:szCs w:val="32"/>
          <w:lang w:val="en-US" w:eastAsia="zh-CN"/>
        </w:rPr>
        <w:t>3.8</w:t>
      </w:r>
      <w:r>
        <w:rPr>
          <w:rFonts w:hint="eastAsia" w:eastAsia="仿宋_GB2312" w:cs="仿宋_GB2312"/>
          <w:sz w:val="32"/>
          <w:szCs w:val="32"/>
        </w:rPr>
        <w:t>万元，占政府采购支出总额的</w:t>
      </w:r>
      <w:r>
        <w:rPr>
          <w:rFonts w:hint="eastAsia" w:eastAsia="仿宋_GB2312" w:cs="仿宋_GB2312"/>
          <w:sz w:val="32"/>
          <w:szCs w:val="32"/>
          <w:lang w:val="en-US" w:eastAsia="zh-CN"/>
        </w:rPr>
        <w:t>78.2</w:t>
      </w:r>
      <w:r>
        <w:rPr>
          <w:rFonts w:hint="eastAsia" w:eastAsia="仿宋_GB2312" w:cs="仿宋_GB2312"/>
          <w:sz w:val="32"/>
          <w:szCs w:val="32"/>
        </w:rPr>
        <w:t>%。</w:t>
      </w:r>
    </w:p>
    <w:p w14:paraId="183E8BB0">
      <w:pPr>
        <w:spacing w:line="600" w:lineRule="exact"/>
        <w:ind w:firstLine="643" w:firstLineChars="200"/>
        <w:outlineLvl w:val="2"/>
        <w:rPr>
          <w:rFonts w:eastAsia="楷体_GB2312" w:cs="楷体_GB2312"/>
          <w:b/>
          <w:sz w:val="32"/>
          <w:szCs w:val="32"/>
        </w:rPr>
      </w:pPr>
      <w:bookmarkStart w:id="42" w:name="_Toc15377224"/>
      <w:r>
        <w:rPr>
          <w:rFonts w:hint="eastAsia" w:eastAsia="楷体_GB2312" w:cs="楷体_GB2312"/>
          <w:b/>
          <w:sz w:val="32"/>
          <w:szCs w:val="32"/>
        </w:rPr>
        <w:t>（三）国有资产占有使用情况</w:t>
      </w:r>
      <w:bookmarkEnd w:id="42"/>
    </w:p>
    <w:p w14:paraId="7B09D209">
      <w:pPr>
        <w:spacing w:line="600" w:lineRule="exact"/>
        <w:ind w:firstLine="640"/>
        <w:rPr>
          <w:rFonts w:eastAsia="仿宋_GB2312" w:cs="仿宋_GB2312"/>
          <w:sz w:val="32"/>
          <w:szCs w:val="32"/>
        </w:rPr>
      </w:pPr>
      <w:r>
        <w:rPr>
          <w:rFonts w:hint="eastAsia" w:eastAsia="仿宋_GB2312" w:cs="仿宋_GB2312"/>
          <w:sz w:val="32"/>
          <w:szCs w:val="32"/>
        </w:rPr>
        <w:t>截至2025年12月31日，</w:t>
      </w:r>
      <w:r>
        <w:rPr>
          <w:rFonts w:hint="default" w:ascii="Times New Roman" w:hAnsi="Times New Roman" w:eastAsia="仿宋_GB2312" w:cs="Times New Roman"/>
          <w:sz w:val="32"/>
          <w:szCs w:val="32"/>
        </w:rPr>
        <w:t>攀枝花市胜利水利工程运行中心</w:t>
      </w:r>
      <w:r>
        <w:rPr>
          <w:rFonts w:hint="eastAsia" w:eastAsia="仿宋_GB2312" w:cs="仿宋_GB2312"/>
          <w:sz w:val="32"/>
          <w:szCs w:val="32"/>
        </w:rPr>
        <w:t>共有车辆</w:t>
      </w:r>
      <w:r>
        <w:rPr>
          <w:rFonts w:hint="eastAsia" w:eastAsia="仿宋_GB2312" w:cs="仿宋_GB2312"/>
          <w:sz w:val="32"/>
          <w:szCs w:val="32"/>
          <w:lang w:val="en-US" w:eastAsia="zh-CN"/>
        </w:rPr>
        <w:t>3</w:t>
      </w:r>
      <w:r>
        <w:rPr>
          <w:rFonts w:hint="eastAsia" w:eastAsia="仿宋_GB2312" w:cs="仿宋_GB2312"/>
          <w:sz w:val="32"/>
          <w:szCs w:val="32"/>
        </w:rPr>
        <w:t>辆，其中：副部（省）级及以上领导用车</w:t>
      </w:r>
      <w:r>
        <w:rPr>
          <w:rFonts w:hint="eastAsia" w:eastAsia="仿宋_GB2312" w:cs="仿宋_GB2312"/>
          <w:sz w:val="32"/>
          <w:szCs w:val="32"/>
          <w:lang w:val="en-US" w:eastAsia="zh-CN"/>
        </w:rPr>
        <w:t>0</w:t>
      </w:r>
      <w:r>
        <w:rPr>
          <w:rFonts w:hint="eastAsia" w:eastAsia="仿宋_GB2312" w:cs="仿宋_GB2312"/>
          <w:sz w:val="32"/>
          <w:szCs w:val="32"/>
        </w:rPr>
        <w:t>辆、主要负责人用车</w:t>
      </w:r>
      <w:r>
        <w:rPr>
          <w:rFonts w:hint="eastAsia" w:eastAsia="仿宋_GB2312" w:cs="仿宋_GB2312"/>
          <w:sz w:val="32"/>
          <w:szCs w:val="32"/>
          <w:lang w:val="en-US" w:eastAsia="zh-CN"/>
        </w:rPr>
        <w:t>0</w:t>
      </w:r>
      <w:r>
        <w:rPr>
          <w:rFonts w:hint="eastAsia" w:eastAsia="仿宋_GB2312" w:cs="仿宋_GB2312"/>
          <w:sz w:val="32"/>
          <w:szCs w:val="32"/>
        </w:rPr>
        <w:t>辆、机要通信用</w:t>
      </w:r>
      <w:r>
        <w:rPr>
          <w:rFonts w:hint="eastAsia" w:eastAsia="仿宋_GB2312" w:cs="仿宋_GB2312"/>
          <w:sz w:val="32"/>
          <w:szCs w:val="32"/>
          <w:lang w:eastAsia="zh-CN"/>
        </w:rPr>
        <w:t>车</w:t>
      </w:r>
      <w:r>
        <w:rPr>
          <w:rFonts w:hint="eastAsia" w:eastAsia="仿宋_GB2312" w:cs="仿宋_GB2312"/>
          <w:sz w:val="32"/>
          <w:szCs w:val="32"/>
          <w:lang w:val="en-US" w:eastAsia="zh-CN"/>
        </w:rPr>
        <w:t>0</w:t>
      </w:r>
      <w:r>
        <w:rPr>
          <w:rFonts w:hint="eastAsia" w:eastAsia="仿宋_GB2312" w:cs="仿宋_GB2312"/>
          <w:sz w:val="32"/>
          <w:szCs w:val="32"/>
        </w:rPr>
        <w:t>辆、应急保障用车</w:t>
      </w:r>
      <w:r>
        <w:rPr>
          <w:rFonts w:hint="eastAsia" w:eastAsia="仿宋_GB2312" w:cs="仿宋_GB2312"/>
          <w:sz w:val="32"/>
          <w:szCs w:val="32"/>
          <w:lang w:val="en-US" w:eastAsia="zh-CN"/>
        </w:rPr>
        <w:t>0</w:t>
      </w:r>
      <w:r>
        <w:rPr>
          <w:rFonts w:hint="eastAsia" w:eastAsia="仿宋_GB2312" w:cs="仿宋_GB2312"/>
          <w:sz w:val="32"/>
          <w:szCs w:val="32"/>
        </w:rPr>
        <w:t>辆、执法执勤用车</w:t>
      </w:r>
      <w:r>
        <w:rPr>
          <w:rFonts w:hint="eastAsia" w:eastAsia="仿宋_GB2312" w:cs="仿宋_GB2312"/>
          <w:sz w:val="32"/>
          <w:szCs w:val="32"/>
          <w:lang w:val="en-US" w:eastAsia="zh-CN"/>
        </w:rPr>
        <w:t>0</w:t>
      </w:r>
      <w:r>
        <w:rPr>
          <w:rFonts w:hint="eastAsia" w:eastAsia="仿宋_GB2312" w:cs="仿宋_GB2312"/>
          <w:sz w:val="32"/>
          <w:szCs w:val="32"/>
        </w:rPr>
        <w:t>辆、特种专业技术用车</w:t>
      </w:r>
      <w:r>
        <w:rPr>
          <w:rFonts w:hint="eastAsia" w:eastAsia="仿宋_GB2312" w:cs="仿宋_GB2312"/>
          <w:sz w:val="32"/>
          <w:szCs w:val="32"/>
          <w:lang w:val="en-US" w:eastAsia="zh-CN"/>
        </w:rPr>
        <w:t>2</w:t>
      </w:r>
      <w:r>
        <w:rPr>
          <w:rFonts w:hint="eastAsia" w:eastAsia="仿宋_GB2312" w:cs="仿宋_GB2312"/>
          <w:sz w:val="32"/>
          <w:szCs w:val="32"/>
        </w:rPr>
        <w:t>辆、离退休干部服务用车</w:t>
      </w:r>
      <w:r>
        <w:rPr>
          <w:rFonts w:hint="eastAsia" w:eastAsia="仿宋_GB2312" w:cs="仿宋_GB2312"/>
          <w:sz w:val="32"/>
          <w:szCs w:val="32"/>
          <w:lang w:val="en-US" w:eastAsia="zh-CN"/>
        </w:rPr>
        <w:t>0</w:t>
      </w:r>
      <w:r>
        <w:rPr>
          <w:rFonts w:hint="eastAsia" w:eastAsia="仿宋_GB2312" w:cs="仿宋_GB2312"/>
          <w:sz w:val="32"/>
          <w:szCs w:val="32"/>
        </w:rPr>
        <w:t>辆、其他用车</w:t>
      </w:r>
      <w:r>
        <w:rPr>
          <w:rFonts w:hint="eastAsia" w:eastAsia="仿宋_GB2312" w:cs="仿宋_GB2312"/>
          <w:sz w:val="32"/>
          <w:szCs w:val="32"/>
          <w:lang w:val="en-US" w:eastAsia="zh-CN"/>
        </w:rPr>
        <w:t>1</w:t>
      </w:r>
      <w:r>
        <w:rPr>
          <w:rFonts w:hint="eastAsia" w:eastAsia="仿宋_GB2312" w:cs="仿宋_GB2312"/>
          <w:sz w:val="32"/>
          <w:szCs w:val="32"/>
        </w:rPr>
        <w:t>辆，其他用车主要是用于</w:t>
      </w:r>
      <w:r>
        <w:rPr>
          <w:rFonts w:hint="default" w:ascii="Times New Roman" w:hAnsi="Times New Roman" w:eastAsia="仿宋_GB2312" w:cs="Times New Roman"/>
          <w:color w:val="auto"/>
          <w:sz w:val="32"/>
          <w:szCs w:val="32"/>
          <w:highlight w:val="none"/>
          <w:lang w:val="en-US" w:eastAsia="zh-CN"/>
        </w:rPr>
        <w:t>胜利水库、沙坝田水库工程及渠道检查</w:t>
      </w:r>
      <w:r>
        <w:rPr>
          <w:rFonts w:hint="eastAsia" w:eastAsia="仿宋_GB2312" w:cs="仿宋_GB2312"/>
          <w:sz w:val="32"/>
          <w:szCs w:val="32"/>
        </w:rPr>
        <w:t>。单价100万元（含）以上设备（不含车辆）</w:t>
      </w:r>
      <w:r>
        <w:rPr>
          <w:rFonts w:hint="eastAsia" w:eastAsia="仿宋_GB2312" w:cs="仿宋_GB2312"/>
          <w:sz w:val="32"/>
          <w:szCs w:val="32"/>
          <w:lang w:val="en-US" w:eastAsia="zh-CN"/>
        </w:rPr>
        <w:t>0</w:t>
      </w:r>
      <w:r>
        <w:rPr>
          <w:rFonts w:hint="eastAsia" w:eastAsia="仿宋_GB2312" w:cs="仿宋_GB2312"/>
          <w:sz w:val="32"/>
          <w:szCs w:val="32"/>
        </w:rPr>
        <w:t>台（套）。</w:t>
      </w:r>
    </w:p>
    <w:p w14:paraId="698650B5">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14D4F205">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hint="default" w:ascii="Times New Roman" w:hAnsi="Times New Roman" w:eastAsia="仿宋_GB2312" w:cs="Times New Roman"/>
          <w:sz w:val="32"/>
          <w:szCs w:val="32"/>
        </w:rPr>
        <w:t>攀枝花市胜利水利工程运行中心</w:t>
      </w:r>
      <w:r>
        <w:rPr>
          <w:rFonts w:hint="eastAsia" w:eastAsia="仿宋_GB2312" w:cs="仿宋_GB2312"/>
          <w:sz w:val="32"/>
          <w:szCs w:val="32"/>
        </w:rPr>
        <w:t>在2025年度，组织对水利工程运行维护费</w:t>
      </w:r>
      <w:r>
        <w:rPr>
          <w:rFonts w:hint="eastAsia" w:eastAsia="仿宋_GB2312" w:cs="仿宋_GB2312"/>
          <w:sz w:val="32"/>
          <w:szCs w:val="32"/>
          <w:lang w:eastAsia="zh-CN"/>
        </w:rPr>
        <w:t>、胜利水库除险加固项目、胜利水库灌区计量和视频监控设施建设项目等</w:t>
      </w:r>
      <w:r>
        <w:rPr>
          <w:rFonts w:hint="eastAsia" w:eastAsia="仿宋_GB2312" w:cs="仿宋_GB2312"/>
          <w:sz w:val="32"/>
          <w:szCs w:val="32"/>
          <w:lang w:val="en-US" w:eastAsia="zh-CN"/>
        </w:rPr>
        <w:t>8</w:t>
      </w:r>
      <w:r>
        <w:rPr>
          <w:rFonts w:hint="eastAsia" w:eastAsia="仿宋_GB2312" w:cs="仿宋_GB2312"/>
          <w:sz w:val="32"/>
          <w:szCs w:val="32"/>
        </w:rPr>
        <w:t>个项目开展了事前绩效评估，对</w:t>
      </w:r>
      <w:r>
        <w:rPr>
          <w:rFonts w:hint="eastAsia" w:eastAsia="仿宋_GB2312" w:cs="仿宋_GB2312"/>
          <w:sz w:val="32"/>
          <w:szCs w:val="32"/>
          <w:lang w:val="en-US" w:eastAsia="zh-CN"/>
        </w:rPr>
        <w:t>8</w:t>
      </w:r>
      <w:r>
        <w:rPr>
          <w:rFonts w:hint="eastAsia" w:eastAsia="仿宋_GB2312" w:cs="仿宋_GB2312"/>
          <w:sz w:val="32"/>
          <w:szCs w:val="32"/>
        </w:rPr>
        <w:t>个项目编制了绩效目标，预算执行过程中，选取</w:t>
      </w:r>
      <w:r>
        <w:rPr>
          <w:rFonts w:hint="eastAsia" w:eastAsia="仿宋_GB2312" w:cs="仿宋_GB2312"/>
          <w:sz w:val="32"/>
          <w:szCs w:val="32"/>
          <w:lang w:val="en-US" w:eastAsia="zh-CN"/>
        </w:rPr>
        <w:t>8</w:t>
      </w:r>
      <w:r>
        <w:rPr>
          <w:rFonts w:hint="eastAsia" w:eastAsia="仿宋_GB2312" w:cs="仿宋_GB2312"/>
          <w:sz w:val="32"/>
          <w:szCs w:val="32"/>
        </w:rPr>
        <w:t>个项目开展绩效监控。</w:t>
      </w:r>
    </w:p>
    <w:p w14:paraId="79ADBE8F">
      <w:pPr>
        <w:rPr>
          <w:rFonts w:hint="eastAsia" w:eastAsia="黑体"/>
          <w:sz w:val="44"/>
          <w:szCs w:val="44"/>
        </w:rPr>
      </w:pPr>
      <w:bookmarkStart w:id="43" w:name="_Toc15377225"/>
      <w:bookmarkStart w:id="44" w:name="_Toc15396613"/>
      <w:r>
        <w:rPr>
          <w:rFonts w:hint="eastAsia" w:eastAsia="黑体"/>
          <w:sz w:val="44"/>
          <w:szCs w:val="44"/>
        </w:rPr>
        <w:br w:type="page"/>
      </w:r>
    </w:p>
    <w:p w14:paraId="1410CB5A">
      <w:pPr>
        <w:spacing w:line="600" w:lineRule="exact"/>
        <w:jc w:val="center"/>
        <w:outlineLvl w:val="0"/>
        <w:rPr>
          <w:rFonts w:eastAsia="黑体"/>
          <w:sz w:val="44"/>
          <w:szCs w:val="44"/>
        </w:rPr>
      </w:pPr>
      <w:r>
        <w:rPr>
          <w:rFonts w:hint="eastAsia" w:eastAsia="黑体"/>
          <w:sz w:val="44"/>
          <w:szCs w:val="44"/>
        </w:rPr>
        <w:t>第三部分  名词解释</w:t>
      </w:r>
      <w:bookmarkEnd w:id="43"/>
      <w:bookmarkEnd w:id="44"/>
    </w:p>
    <w:p w14:paraId="2DAECB07">
      <w:pPr>
        <w:spacing w:line="600" w:lineRule="exact"/>
        <w:jc w:val="left"/>
        <w:rPr>
          <w:b/>
          <w:sz w:val="44"/>
          <w:szCs w:val="44"/>
        </w:rPr>
      </w:pPr>
    </w:p>
    <w:p w14:paraId="2756542D">
      <w:pPr>
        <w:pStyle w:val="36"/>
        <w:keepNext w:val="0"/>
        <w:keepLines w:val="0"/>
        <w:pageBreakBefore w:val="0"/>
        <w:widowControl w:val="0"/>
        <w:kinsoku/>
        <w:wordWrap/>
        <w:overflowPunct/>
        <w:topLinePunct w:val="0"/>
        <w:autoSpaceDE/>
        <w:autoSpaceDN/>
        <w:bidi w:val="0"/>
        <w:adjustRightInd/>
        <w:snapToGrid/>
        <w:spacing w:before="130" w:line="60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2"/>
          <w:sz w:val="32"/>
          <w:szCs w:val="32"/>
          <w:lang w:val="en-US" w:bidi="ar-SA"/>
        </w:rPr>
      </w:pPr>
      <w:r>
        <w:rPr>
          <w:rFonts w:hint="eastAsia" w:ascii="仿宋_GB2312" w:hAnsi="仿宋_GB2312" w:eastAsia="仿宋_GB2312" w:cs="仿宋_GB2312"/>
          <w:color w:val="auto"/>
          <w:kern w:val="2"/>
          <w:sz w:val="32"/>
          <w:szCs w:val="32"/>
          <w:lang w:val="en-US" w:bidi="ar-SA"/>
        </w:rPr>
        <w:t>1.一般公共预算拨款收入：指市级财政当年拨付的</w:t>
      </w:r>
      <w:r>
        <w:rPr>
          <w:rFonts w:hint="eastAsia" w:ascii="仿宋_GB2312" w:hAnsi="仿宋_GB2312" w:eastAsia="仿宋_GB2312" w:cs="仿宋_GB2312"/>
          <w:color w:val="auto"/>
          <w:kern w:val="2"/>
          <w:sz w:val="32"/>
          <w:szCs w:val="32"/>
          <w:lang w:val="en-US" w:eastAsia="zh-CN" w:bidi="ar-SA"/>
        </w:rPr>
        <w:t>一般公共预算</w:t>
      </w:r>
      <w:r>
        <w:rPr>
          <w:rFonts w:hint="eastAsia" w:ascii="仿宋_GB2312" w:hAnsi="仿宋_GB2312" w:eastAsia="仿宋_GB2312" w:cs="仿宋_GB2312"/>
          <w:color w:val="auto"/>
          <w:kern w:val="2"/>
          <w:sz w:val="32"/>
          <w:szCs w:val="32"/>
          <w:lang w:val="en-US" w:bidi="ar-SA"/>
        </w:rPr>
        <w:t>资金。</w:t>
      </w:r>
    </w:p>
    <w:p w14:paraId="0E34AC2D">
      <w:pPr>
        <w:pStyle w:val="36"/>
        <w:keepNext w:val="0"/>
        <w:keepLines w:val="0"/>
        <w:pageBreakBefore w:val="0"/>
        <w:widowControl w:val="0"/>
        <w:kinsoku/>
        <w:wordWrap/>
        <w:overflowPunct/>
        <w:topLinePunct w:val="0"/>
        <w:autoSpaceDE/>
        <w:autoSpaceDN/>
        <w:bidi w:val="0"/>
        <w:adjustRightInd/>
        <w:snapToGrid/>
        <w:spacing w:before="130" w:line="60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2"/>
          <w:sz w:val="32"/>
          <w:szCs w:val="32"/>
          <w:lang w:val="en-US" w:bidi="ar-SA"/>
        </w:rPr>
      </w:pPr>
      <w:r>
        <w:rPr>
          <w:rFonts w:hint="eastAsia" w:ascii="仿宋_GB2312" w:hAnsi="仿宋_GB2312" w:eastAsia="仿宋_GB2312" w:cs="仿宋_GB2312"/>
          <w:color w:val="auto"/>
          <w:kern w:val="2"/>
          <w:sz w:val="32"/>
          <w:szCs w:val="32"/>
          <w:lang w:val="en-US" w:bidi="ar-SA"/>
        </w:rPr>
        <w:t>2.基本支出：指为保证机构正常运转，完成日常工作任务而发生的人员支出和公用支出。</w:t>
      </w:r>
    </w:p>
    <w:p w14:paraId="367CCE87">
      <w:pPr>
        <w:pStyle w:val="36"/>
        <w:keepNext w:val="0"/>
        <w:keepLines w:val="0"/>
        <w:pageBreakBefore w:val="0"/>
        <w:widowControl w:val="0"/>
        <w:kinsoku/>
        <w:wordWrap/>
        <w:overflowPunct/>
        <w:topLinePunct w:val="0"/>
        <w:autoSpaceDE/>
        <w:autoSpaceDN/>
        <w:bidi w:val="0"/>
        <w:adjustRightInd/>
        <w:snapToGrid/>
        <w:spacing w:before="130" w:line="60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2"/>
          <w:sz w:val="32"/>
          <w:szCs w:val="32"/>
          <w:lang w:val="en-US" w:bidi="ar-SA"/>
        </w:rPr>
      </w:pPr>
      <w:r>
        <w:rPr>
          <w:rFonts w:hint="eastAsia" w:ascii="仿宋_GB2312" w:hAnsi="仿宋_GB2312" w:eastAsia="仿宋_GB2312" w:cs="仿宋_GB2312"/>
          <w:color w:val="auto"/>
          <w:kern w:val="2"/>
          <w:sz w:val="32"/>
          <w:szCs w:val="32"/>
          <w:lang w:val="en-US" w:bidi="ar-SA"/>
        </w:rPr>
        <w:t>3.项目支出：指在基本支出之外为完成特定的工作任务和事业发展目标所发生的支出。</w:t>
      </w:r>
    </w:p>
    <w:p w14:paraId="37BE78BF">
      <w:pPr>
        <w:pStyle w:val="36"/>
        <w:keepNext w:val="0"/>
        <w:keepLines w:val="0"/>
        <w:pageBreakBefore w:val="0"/>
        <w:widowControl w:val="0"/>
        <w:kinsoku/>
        <w:wordWrap/>
        <w:overflowPunct/>
        <w:topLinePunct w:val="0"/>
        <w:autoSpaceDE/>
        <w:autoSpaceDN/>
        <w:bidi w:val="0"/>
        <w:adjustRightInd/>
        <w:snapToGrid/>
        <w:spacing w:before="130" w:line="60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2"/>
          <w:sz w:val="32"/>
          <w:szCs w:val="32"/>
          <w:lang w:val="en-US" w:bidi="ar-SA"/>
        </w:rPr>
      </w:pPr>
      <w:r>
        <w:rPr>
          <w:rFonts w:hint="eastAsia" w:ascii="仿宋_GB2312" w:hAnsi="仿宋_GB2312" w:eastAsia="仿宋_GB2312" w:cs="仿宋_GB2312"/>
          <w:color w:val="auto"/>
          <w:kern w:val="2"/>
          <w:sz w:val="32"/>
          <w:szCs w:val="32"/>
          <w:lang w:val="en-US" w:bidi="ar-SA"/>
        </w:rPr>
        <w:t>4.“三公”经费：纳入预决算管理的“三公”经费，是指单位用财政拨款安排的因公出国（境）费、公务用车购置及运行费和公务接待费。其中，因公出国（境）费反映单位公务出国（境）的国际旅费、国外城市间交通费、住宿费、伙食费、培训费、公杂费等支出；公务用车购置及运行维护费反映单位公务用车购置支出（含车辆购置税、牌照费）及按规定保留的公务用车燃料费、维修费、过路过桥费、保险费、安全奖励费用等支出；公务接待费反映单位按规定开支的各类公务接待（含外宾接待）费用。</w:t>
      </w:r>
    </w:p>
    <w:p w14:paraId="53C91AE8">
      <w:pPr>
        <w:pStyle w:val="36"/>
        <w:keepNext w:val="0"/>
        <w:keepLines w:val="0"/>
        <w:pageBreakBefore w:val="0"/>
        <w:widowControl w:val="0"/>
        <w:kinsoku/>
        <w:wordWrap/>
        <w:overflowPunct/>
        <w:topLinePunct w:val="0"/>
        <w:autoSpaceDE/>
        <w:autoSpaceDN/>
        <w:bidi w:val="0"/>
        <w:adjustRightInd/>
        <w:snapToGrid/>
        <w:spacing w:before="130" w:line="60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bidi="ar-SA"/>
        </w:rPr>
        <w:t>5.社会保障和就业支出（类）行政事业单位养老支出（款）机关事业单位基本养老保险缴费支出（项）：指</w:t>
      </w:r>
      <w:r>
        <w:rPr>
          <w:rFonts w:hint="eastAsia" w:ascii="仿宋_GB2312" w:hAnsi="仿宋_GB2312" w:eastAsia="仿宋_GB2312" w:cs="仿宋_GB2312"/>
          <w:color w:val="auto"/>
          <w:kern w:val="2"/>
          <w:sz w:val="32"/>
          <w:szCs w:val="32"/>
          <w:lang w:val="en-US" w:eastAsia="zh-CN" w:bidi="ar-SA"/>
        </w:rPr>
        <w:t>反映机关事业单位实施养老保险制度由单位缴纳的基本养老保险费支出。</w:t>
      </w:r>
    </w:p>
    <w:p w14:paraId="580442BC">
      <w:pPr>
        <w:pStyle w:val="36"/>
        <w:keepNext w:val="0"/>
        <w:keepLines w:val="0"/>
        <w:pageBreakBefore w:val="0"/>
        <w:widowControl w:val="0"/>
        <w:kinsoku/>
        <w:wordWrap/>
        <w:overflowPunct/>
        <w:topLinePunct w:val="0"/>
        <w:autoSpaceDE/>
        <w:autoSpaceDN/>
        <w:bidi w:val="0"/>
        <w:adjustRightInd/>
        <w:snapToGrid/>
        <w:spacing w:before="130" w:line="60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2"/>
          <w:sz w:val="32"/>
          <w:szCs w:val="32"/>
          <w:lang w:val="en-US" w:bidi="ar-SA"/>
        </w:rPr>
      </w:pPr>
      <w:r>
        <w:rPr>
          <w:rFonts w:hint="eastAsia" w:ascii="仿宋_GB2312" w:hAnsi="仿宋_GB2312" w:eastAsia="仿宋_GB2312" w:cs="仿宋_GB2312"/>
          <w:color w:val="auto"/>
          <w:kern w:val="2"/>
          <w:sz w:val="32"/>
          <w:szCs w:val="32"/>
          <w:lang w:val="en-US" w:bidi="ar-SA"/>
        </w:rPr>
        <w:t>6.社会保障和就业支出（类）行政事业单位养老支出（款）事业单位离退休（项）：</w:t>
      </w:r>
      <w:r>
        <w:rPr>
          <w:rFonts w:hint="eastAsia" w:ascii="仿宋_GB2312" w:hAnsi="仿宋_GB2312" w:eastAsia="仿宋_GB2312" w:cs="仿宋_GB2312"/>
          <w:color w:val="auto"/>
          <w:kern w:val="2"/>
          <w:sz w:val="32"/>
          <w:szCs w:val="32"/>
          <w:lang w:val="en-US" w:eastAsia="zh-CN" w:bidi="ar-SA"/>
        </w:rPr>
        <w:t>指反映事业单位开支的离退休经费。</w:t>
      </w:r>
    </w:p>
    <w:p w14:paraId="28C3F775">
      <w:pPr>
        <w:pStyle w:val="36"/>
        <w:keepNext w:val="0"/>
        <w:keepLines w:val="0"/>
        <w:pageBreakBefore w:val="0"/>
        <w:widowControl w:val="0"/>
        <w:kinsoku/>
        <w:wordWrap/>
        <w:overflowPunct/>
        <w:topLinePunct w:val="0"/>
        <w:autoSpaceDE/>
        <w:autoSpaceDN/>
        <w:bidi w:val="0"/>
        <w:adjustRightInd/>
        <w:snapToGrid/>
        <w:spacing w:before="130" w:line="60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2"/>
          <w:sz w:val="32"/>
          <w:szCs w:val="32"/>
          <w:lang w:val="en-US" w:bidi="ar-SA"/>
        </w:rPr>
      </w:pPr>
      <w:r>
        <w:rPr>
          <w:rFonts w:hint="eastAsia" w:ascii="仿宋_GB2312" w:hAnsi="仿宋_GB2312" w:eastAsia="仿宋_GB2312" w:cs="仿宋_GB2312"/>
          <w:color w:val="auto"/>
          <w:kern w:val="2"/>
          <w:sz w:val="32"/>
          <w:szCs w:val="32"/>
          <w:lang w:val="en-US" w:bidi="ar-SA"/>
        </w:rPr>
        <w:t>7.农林水支出（类）水利（款）水利工程运行与维护（项）：指</w:t>
      </w:r>
      <w:r>
        <w:rPr>
          <w:rFonts w:hint="eastAsia" w:ascii="仿宋_GB2312" w:hAnsi="仿宋_GB2312" w:eastAsia="仿宋_GB2312" w:cs="仿宋_GB2312"/>
          <w:color w:val="auto"/>
          <w:kern w:val="2"/>
          <w:sz w:val="32"/>
          <w:szCs w:val="32"/>
          <w:lang w:val="en-US" w:eastAsia="zh-CN" w:bidi="ar-SA"/>
        </w:rPr>
        <w:t>反映水利系统用于江、河、湖、滩等治理工程运行与维护方面的支出，以及纳入预算管理的水利工程管理单位的支出。</w:t>
      </w:r>
    </w:p>
    <w:p w14:paraId="77A47A73">
      <w:pPr>
        <w:pStyle w:val="36"/>
        <w:keepNext w:val="0"/>
        <w:keepLines w:val="0"/>
        <w:pageBreakBefore w:val="0"/>
        <w:widowControl w:val="0"/>
        <w:kinsoku/>
        <w:wordWrap/>
        <w:overflowPunct/>
        <w:topLinePunct w:val="0"/>
        <w:autoSpaceDE/>
        <w:autoSpaceDN/>
        <w:bidi w:val="0"/>
        <w:adjustRightInd/>
        <w:snapToGrid/>
        <w:spacing w:before="130" w:line="600" w:lineRule="exact"/>
        <w:ind w:left="0" w:leftChars="0" w:right="0" w:rightChars="0" w:firstLine="640" w:firstLineChars="200"/>
        <w:jc w:val="left"/>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8.</w:t>
      </w:r>
      <w:r>
        <w:rPr>
          <w:rFonts w:hint="eastAsia" w:ascii="仿宋_GB2312" w:hAnsi="仿宋_GB2312" w:eastAsia="仿宋_GB2312" w:cs="仿宋_GB2312"/>
          <w:color w:val="auto"/>
          <w:kern w:val="2"/>
          <w:sz w:val="32"/>
          <w:szCs w:val="32"/>
          <w:lang w:val="en-US" w:bidi="ar-SA"/>
        </w:rPr>
        <w:t>住房保障支出（类）住房改革支出（款）住房公积金（项）：指行政事业单位按</w:t>
      </w:r>
      <w:r>
        <w:rPr>
          <w:rFonts w:hint="eastAsia" w:ascii="仿宋_GB2312" w:hAnsi="仿宋_GB2312" w:eastAsia="仿宋_GB2312" w:cs="仿宋_GB2312"/>
          <w:color w:val="auto"/>
          <w:kern w:val="2"/>
          <w:sz w:val="32"/>
          <w:szCs w:val="32"/>
          <w:lang w:val="en-US" w:eastAsia="zh-CN" w:bidi="ar-SA"/>
        </w:rPr>
        <w:t>人力资源和社会保障部、财政部规定的基本工资和津贴补贴以及规定比例为职工缴纳的住房公积金。</w:t>
      </w:r>
    </w:p>
    <w:p w14:paraId="651ADF7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9.</w:t>
      </w:r>
      <w:r>
        <w:rPr>
          <w:rFonts w:hint="eastAsia" w:ascii="仿宋_GB2312" w:hAnsi="仿宋_GB2312" w:eastAsia="仿宋_GB2312" w:cs="仿宋_GB2312"/>
          <w:color w:val="auto"/>
          <w:kern w:val="2"/>
          <w:sz w:val="32"/>
          <w:szCs w:val="32"/>
          <w:lang w:val="en-US" w:eastAsia="zh-CN" w:bidi="ar-SA"/>
        </w:rPr>
        <w:t>卫生健康支出（类）行政事业单位医疗（款）事业单位医疗（项）：指反映财政部门安排的事业单位基本医疗保险缴费经费，未参加医疗保险的事业单位的公费医疗经费，按国家规定享受离休人员待遇的医疗经费。</w:t>
      </w:r>
    </w:p>
    <w:p w14:paraId="36DBC62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0"/>
        <w:jc w:val="both"/>
        <w:textAlignment w:val="auto"/>
        <w:outlineLvl w:val="9"/>
        <w:rPr>
          <w:rFonts w:hint="eastAsia" w:ascii="仿宋_GB2312" w:hAnsi="仿宋_GB2312" w:cs="仿宋_GB2312"/>
          <w:color w:val="auto"/>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10.</w:t>
      </w:r>
      <w:r>
        <w:rPr>
          <w:rFonts w:hint="eastAsia" w:ascii="仿宋_GB2312" w:hAnsi="仿宋_GB2312" w:eastAsia="仿宋_GB2312" w:cs="仿宋_GB2312"/>
          <w:color w:val="auto"/>
          <w:kern w:val="2"/>
          <w:sz w:val="32"/>
          <w:szCs w:val="32"/>
          <w:lang w:val="en-US" w:eastAsia="zh-CN" w:bidi="ar-SA"/>
        </w:rPr>
        <w:t>卫生健康支出（类）行政事业单位医疗（款）公务员医疗补助（项）：指反映财政部门安排的公务员医疗补助经费。</w:t>
      </w:r>
      <w:r>
        <w:rPr>
          <w:rFonts w:hint="eastAsia" w:ascii="仿宋_GB2312" w:hAnsi="仿宋_GB2312" w:cs="仿宋_GB2312"/>
          <w:color w:val="auto"/>
          <w:kern w:val="2"/>
          <w:sz w:val="32"/>
          <w:szCs w:val="32"/>
          <w:lang w:val="en-US" w:eastAsia="zh-CN" w:bidi="ar-SA"/>
        </w:rPr>
        <w:t xml:space="preserve"> </w:t>
      </w:r>
    </w:p>
    <w:p w14:paraId="2EEA3ED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黑体"/>
          <w:sz w:val="44"/>
          <w:szCs w:val="44"/>
        </w:rPr>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pPr>
      <w:bookmarkStart w:id="45" w:name="_Toc15396614"/>
      <w:bookmarkStart w:id="46" w:name="_Toc15377226"/>
    </w:p>
    <w:p w14:paraId="3B177FDE">
      <w:pPr>
        <w:spacing w:line="600" w:lineRule="exact"/>
        <w:jc w:val="center"/>
        <w:rPr>
          <w:rStyle w:val="28"/>
          <w:rFonts w:eastAsia="黑体"/>
          <w:b w:val="0"/>
        </w:rPr>
      </w:pPr>
      <w:r>
        <w:rPr>
          <w:rFonts w:hint="eastAsia" w:eastAsia="黑体"/>
          <w:sz w:val="44"/>
          <w:szCs w:val="44"/>
        </w:rPr>
        <w:t>第四部分  附件</w:t>
      </w:r>
      <w:bookmarkEnd w:id="45"/>
    </w:p>
    <w:p w14:paraId="668E7354">
      <w:pPr>
        <w:pStyle w:val="13"/>
      </w:pPr>
    </w:p>
    <w:p w14:paraId="24ED9835">
      <w:pPr>
        <w:spacing w:line="572" w:lineRule="exact"/>
        <w:jc w:val="left"/>
        <w:outlineLvl w:val="0"/>
        <w:rPr>
          <w:rFonts w:hint="eastAsia" w:eastAsia="黑体" w:cs="黑体"/>
          <w:sz w:val="32"/>
          <w:szCs w:val="32"/>
        </w:rPr>
      </w:pPr>
      <w:r>
        <w:rPr>
          <w:rFonts w:hint="eastAsia" w:eastAsia="黑体" w:cs="黑体"/>
          <w:sz w:val="32"/>
          <w:szCs w:val="32"/>
        </w:rPr>
        <w:t>附件1</w:t>
      </w:r>
    </w:p>
    <w:p w14:paraId="76B90558">
      <w:pPr>
        <w:spacing w:line="572" w:lineRule="exact"/>
        <w:ind w:firstLine="640" w:firstLineChars="200"/>
        <w:jc w:val="left"/>
        <w:outlineLvl w:val="0"/>
        <w:rPr>
          <w:rFonts w:hint="eastAsia" w:eastAsia="黑体" w:cs="黑体"/>
          <w:sz w:val="32"/>
          <w:szCs w:val="32"/>
        </w:rPr>
      </w:pPr>
    </w:p>
    <w:p w14:paraId="0A4051CD">
      <w:pPr>
        <w:spacing w:line="572" w:lineRule="exact"/>
        <w:ind w:firstLine="640" w:firstLineChars="200"/>
        <w:jc w:val="left"/>
        <w:outlineLvl w:val="0"/>
        <w:rPr>
          <w:rFonts w:ascii="Times New Roman" w:eastAsia="仿宋_GB2312"/>
          <w:sz w:val="32"/>
          <w:lang w:val="zh-CN" w:bidi="ar"/>
        </w:rPr>
      </w:pPr>
      <w:r>
        <w:rPr>
          <w:rFonts w:hint="eastAsia" w:ascii="Times New Roman" w:eastAsia="仿宋_GB2312"/>
          <w:sz w:val="32"/>
          <w:lang w:bidi="ar"/>
        </w:rPr>
        <w:t>部门预算项目支出绩效自评表（2025年度）</w:t>
      </w:r>
      <w:r>
        <w:rPr>
          <w:rFonts w:hint="eastAsia" w:eastAsia="仿宋_GB2312"/>
          <w:sz w:val="32"/>
          <w:lang w:eastAsia="zh-CN" w:bidi="ar"/>
        </w:rPr>
        <w:t>，</w:t>
      </w:r>
      <w:r>
        <w:rPr>
          <w:rFonts w:hint="eastAsia" w:ascii="仿宋_GB2312" w:hAnsi="仿宋_GB2312" w:eastAsia="仿宋_GB2312" w:cs="仿宋_GB2312"/>
          <w:color w:val="auto"/>
          <w:sz w:val="32"/>
          <w:szCs w:val="32"/>
          <w:highlight w:val="none"/>
          <w:lang w:eastAsia="zh-CN"/>
        </w:rPr>
        <w:t>见决算公开附件</w:t>
      </w:r>
      <w:r>
        <w:rPr>
          <w:rFonts w:hint="eastAsia" w:ascii="仿宋_GB2312" w:hAnsi="仿宋_GB2312" w:eastAsia="仿宋_GB2312" w:cs="仿宋_GB2312"/>
          <w:color w:val="auto"/>
          <w:sz w:val="32"/>
          <w:szCs w:val="32"/>
          <w:highlight w:val="none"/>
          <w:lang w:val="en-US" w:eastAsia="zh-CN"/>
        </w:rPr>
        <w:t>3</w:t>
      </w:r>
    </w:p>
    <w:p w14:paraId="4E438A82">
      <w:pPr>
        <w:pStyle w:val="7"/>
        <w:spacing w:line="560" w:lineRule="exact"/>
        <w:ind w:left="0" w:leftChars="0" w:firstLine="0" w:firstLineChars="0"/>
        <w:rPr>
          <w:rFonts w:ascii="Times New Roman"/>
          <w:sz w:val="32"/>
          <w:highlight w:val="yellow"/>
          <w:lang w:val="zh-CN"/>
        </w:rPr>
      </w:pPr>
    </w:p>
    <w:p w14:paraId="6EDD576C">
      <w:pPr>
        <w:pStyle w:val="2"/>
        <w:spacing w:before="93"/>
        <w:rPr>
          <w:rFonts w:ascii="Times New Roman" w:cs="宋体"/>
          <w:color w:val="FF0000"/>
          <w:sz w:val="32"/>
          <w:szCs w:val="32"/>
          <w:highlight w:val="yellow"/>
          <w:shd w:val="clear" w:color="auto" w:fill="FFFFFF"/>
          <w:lang w:val="zh-CN"/>
        </w:rPr>
      </w:pPr>
    </w:p>
    <w:p w14:paraId="61C5788B">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14:paraId="666E28CC">
      <w:pPr>
        <w:pStyle w:val="2"/>
        <w:spacing w:before="93"/>
        <w:rPr>
          <w:rFonts w:ascii="Times New Roman" w:eastAsia="黑体" w:cs="黑体"/>
          <w:sz w:val="32"/>
          <w:szCs w:val="32"/>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2</w:t>
      </w:r>
    </w:p>
    <w:p w14:paraId="11D37333">
      <w:pPr>
        <w:widowControl w:val="0"/>
        <w:spacing w:line="560" w:lineRule="exact"/>
        <w:jc w:val="both"/>
        <w:rPr>
          <w:rFonts w:hint="default" w:ascii="Times New Roman" w:hAnsi="Times New Roman" w:eastAsia="方正小标宋_GBK" w:cs="Times New Roman"/>
          <w:color w:val="000000"/>
          <w:kern w:val="2"/>
          <w:sz w:val="44"/>
          <w:szCs w:val="44"/>
          <w:lang w:val="en-US" w:eastAsia="zh-CN" w:bidi="ar-SA"/>
        </w:rPr>
      </w:pPr>
    </w:p>
    <w:p w14:paraId="47F735B6">
      <w:pPr>
        <w:widowControl w:val="0"/>
        <w:spacing w:line="560" w:lineRule="exact"/>
        <w:jc w:val="center"/>
        <w:rPr>
          <w:rFonts w:hint="default" w:ascii="Times New Roman" w:hAnsi="Times New Roman" w:eastAsia="方正小标宋简体" w:cs="Times New Roman"/>
          <w:color w:val="000000"/>
          <w:kern w:val="0"/>
          <w:sz w:val="44"/>
          <w:szCs w:val="44"/>
          <w:lang w:val="zh-CN" w:eastAsia="zh-CN" w:bidi="ar-SA"/>
        </w:rPr>
      </w:pPr>
      <w:r>
        <w:rPr>
          <w:rFonts w:hint="default" w:ascii="Times New Roman" w:hAnsi="Times New Roman" w:eastAsia="方正小标宋_GBK" w:cs="Times New Roman"/>
          <w:color w:val="000000"/>
          <w:kern w:val="2"/>
          <w:sz w:val="44"/>
          <w:szCs w:val="44"/>
          <w:lang w:val="en-US" w:eastAsia="zh-CN" w:bidi="ar-SA"/>
        </w:rPr>
        <w:t>专项</w:t>
      </w:r>
      <w:r>
        <w:rPr>
          <w:rFonts w:hint="eastAsia" w:ascii="Times New Roman" w:hAnsi="Times New Roman" w:eastAsia="方正小标宋_GBK" w:cs="Times New Roman"/>
          <w:color w:val="000000"/>
          <w:kern w:val="2"/>
          <w:sz w:val="44"/>
          <w:szCs w:val="44"/>
          <w:lang w:val="en-US" w:eastAsia="zh-CN" w:bidi="ar-SA"/>
        </w:rPr>
        <w:t>预算</w:t>
      </w:r>
      <w:r>
        <w:rPr>
          <w:rFonts w:hint="default" w:ascii="Times New Roman" w:hAnsi="Times New Roman" w:eastAsia="方正小标宋_GBK" w:cs="Times New Roman"/>
          <w:color w:val="000000"/>
          <w:kern w:val="2"/>
          <w:sz w:val="44"/>
          <w:szCs w:val="44"/>
          <w:lang w:val="en-US" w:eastAsia="zh-CN" w:bidi="ar-SA"/>
        </w:rPr>
        <w:t>项目</w:t>
      </w:r>
      <w:r>
        <w:rPr>
          <w:rFonts w:hint="eastAsia" w:ascii="Times New Roman" w:hAnsi="Times New Roman" w:eastAsia="方正小标宋_GBK" w:cs="Times New Roman"/>
          <w:color w:val="000000"/>
          <w:kern w:val="2"/>
          <w:sz w:val="44"/>
          <w:szCs w:val="44"/>
          <w:lang w:val="en-US" w:eastAsia="zh-CN" w:bidi="ar-SA"/>
        </w:rPr>
        <w:t>支出</w:t>
      </w:r>
      <w:r>
        <w:rPr>
          <w:rFonts w:hint="default" w:ascii="Times New Roman" w:hAnsi="Times New Roman" w:eastAsia="方正小标宋_GBK" w:cs="Times New Roman"/>
          <w:color w:val="000000"/>
          <w:kern w:val="2"/>
          <w:sz w:val="44"/>
          <w:szCs w:val="44"/>
          <w:lang w:val="en-US" w:eastAsia="zh-CN" w:bidi="ar-SA"/>
        </w:rPr>
        <w:t>绩效自评报告</w:t>
      </w:r>
    </w:p>
    <w:p w14:paraId="5E9E2752">
      <w:pPr>
        <w:adjustRightInd w:val="0"/>
        <w:snapToGrid w:val="0"/>
        <w:spacing w:line="56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（水利工程运行维护费）</w:t>
      </w:r>
    </w:p>
    <w:p w14:paraId="3BDCEEB7">
      <w:pPr>
        <w:adjustRightInd w:val="0"/>
        <w:snapToGrid w:val="0"/>
        <w:spacing w:line="560" w:lineRule="exact"/>
        <w:ind w:firstLine="720"/>
        <w:rPr>
          <w:rFonts w:hint="default" w:ascii="Times New Roman" w:hAnsi="Times New Roman" w:eastAsia="仿宋_GB2312" w:cs="Times New Roman"/>
          <w:kern w:val="0"/>
          <w:sz w:val="32"/>
          <w:szCs w:val="32"/>
        </w:rPr>
      </w:pPr>
    </w:p>
    <w:p w14:paraId="274895A7">
      <w:pPr>
        <w:adjustRightInd w:val="0"/>
        <w:snapToGrid w:val="0"/>
        <w:spacing w:line="560" w:lineRule="exact"/>
        <w:ind w:firstLine="960" w:firstLineChars="300"/>
        <w:rPr>
          <w:rFonts w:hint="default" w:ascii="Times New Roman" w:hAnsi="Times New Roman" w:eastAsia="黑体" w:cs="Times New Roman"/>
          <w:sz w:val="32"/>
          <w:szCs w:val="32"/>
          <w:lang w:val="zh-CN"/>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val="zh-CN"/>
        </w:rPr>
        <w:t>项目概况</w:t>
      </w:r>
    </w:p>
    <w:p w14:paraId="4883FE6D">
      <w:pPr>
        <w:keepNext w:val="0"/>
        <w:keepLines w:val="0"/>
        <w:pageBreakBefore w:val="0"/>
        <w:widowControl w:val="0"/>
        <w:numPr>
          <w:ilvl w:val="0"/>
          <w:numId w:val="3"/>
        </w:numPr>
        <w:kinsoku/>
        <w:wordWrap/>
        <w:overflowPunct/>
        <w:topLinePunct w:val="0"/>
        <w:bidi w:val="0"/>
        <w:adjustRightInd w:val="0"/>
        <w:snapToGrid w:val="0"/>
        <w:spacing w:line="560" w:lineRule="exact"/>
        <w:ind w:firstLine="720"/>
        <w:jc w:val="left"/>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项目基本情况</w:t>
      </w:r>
    </w:p>
    <w:p w14:paraId="1AB7A382">
      <w:pPr>
        <w:keepNext w:val="0"/>
        <w:keepLines w:val="0"/>
        <w:pageBreakBefore w:val="0"/>
        <w:widowControl w:val="0"/>
        <w:kinsoku/>
        <w:wordWrap/>
        <w:overflowPunct/>
        <w:topLinePunct w:val="0"/>
        <w:bidi w:val="0"/>
        <w:spacing w:before="0" w:beforeAutospacing="0" w:after="0" w:afterAutospacing="0" w:line="560" w:lineRule="exact"/>
        <w:ind w:firstLine="960" w:firstLineChars="300"/>
        <w:jc w:val="left"/>
        <w:textAlignment w:val="auto"/>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en-US" w:eastAsia="zh-CN" w:bidi="ar-SA"/>
        </w:rPr>
        <w:t>1</w:t>
      </w:r>
      <w:r>
        <w:rPr>
          <w:rFonts w:hint="eastAsia"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zh-CN" w:eastAsia="zh-CN" w:bidi="ar-SA"/>
        </w:rPr>
        <w:t>主管部门（单位）在该项目管理中的职能</w:t>
      </w:r>
    </w:p>
    <w:p w14:paraId="13814CC4">
      <w:pPr>
        <w:keepNext w:val="0"/>
        <w:keepLines w:val="0"/>
        <w:pageBreakBefore w:val="0"/>
        <w:widowControl w:val="0"/>
        <w:kinsoku/>
        <w:wordWrap/>
        <w:overflowPunct/>
        <w:topLinePunct w:val="0"/>
        <w:bidi w:val="0"/>
        <w:spacing w:line="560" w:lineRule="exact"/>
        <w:ind w:firstLine="640" w:firstLineChars="200"/>
        <w:jc w:val="lef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市水利局在该项目中</w:t>
      </w:r>
      <w:r>
        <w:rPr>
          <w:rFonts w:hint="default" w:ascii="Times New Roman" w:hAnsi="Times New Roman" w:eastAsia="仿宋_GB2312" w:cs="Times New Roman"/>
          <w:sz w:val="32"/>
          <w:szCs w:val="32"/>
        </w:rPr>
        <w:t>主要是提出资金分配建议方案，协同财政部门做好资金预算分解下达工作，指导和监督资金使用，确保资金专款专用，提高资金的使用规范性</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安全性和有效性。</w:t>
      </w:r>
    </w:p>
    <w:p w14:paraId="1432D033">
      <w:pPr>
        <w:keepNext w:val="0"/>
        <w:keepLines w:val="0"/>
        <w:pageBreakBefore w:val="0"/>
        <w:widowControl w:val="0"/>
        <w:kinsoku/>
        <w:wordWrap/>
        <w:overflowPunct/>
        <w:topLinePunct w:val="0"/>
        <w:bidi w:val="0"/>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定期对项目进行监督检查，及时发现和解决项目实施过程中出现的问题，协同做好预算绩效管理工作，组织开展绩效评价等职能。</w:t>
      </w:r>
    </w:p>
    <w:p w14:paraId="1BE2C3AC">
      <w:pPr>
        <w:keepNext w:val="0"/>
        <w:keepLines w:val="0"/>
        <w:pageBreakBefore w:val="0"/>
        <w:widowControl w:val="0"/>
        <w:numPr>
          <w:ilvl w:val="0"/>
          <w:numId w:val="0"/>
        </w:numPr>
        <w:kinsoku/>
        <w:wordWrap/>
        <w:overflowPunct/>
        <w:topLinePunct w:val="0"/>
        <w:bidi w:val="0"/>
        <w:adjustRightInd w:val="0"/>
        <w:snapToGrid w:val="0"/>
        <w:spacing w:line="560" w:lineRule="exact"/>
        <w:jc w:val="left"/>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　　</w:t>
      </w:r>
      <w:bookmarkStart w:id="75" w:name="_GoBack"/>
      <w:bookmarkEnd w:id="75"/>
      <w:r>
        <w:rPr>
          <w:rFonts w:hint="eastAsia" w:eastAsia="仿宋_GB2312" w:cs="Times New Roman"/>
          <w:sz w:val="32"/>
          <w:szCs w:val="32"/>
          <w:lang w:eastAsia="zh-CN"/>
        </w:rPr>
        <w:t>２</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rPr>
        <w:t>项目立项、资金申报的依据</w:t>
      </w:r>
    </w:p>
    <w:p w14:paraId="03FFF7B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沙坝田水库属于小（1）型水库，位于仁和区啊喇乡大竹上村，是</w:t>
      </w:r>
      <w:r>
        <w:rPr>
          <w:rFonts w:hint="default" w:ascii="Times New Roman" w:hAnsi="Times New Roman" w:eastAsia="仿宋_GB2312" w:cs="Times New Roman"/>
          <w:kern w:val="2"/>
          <w:sz w:val="32"/>
          <w:szCs w:val="32"/>
          <w:lang w:val="en-US" w:eastAsia="zh-CN" w:bidi="ar-SA"/>
        </w:rPr>
        <w:t>以城市生活供水为主、兼顾农业灌溉及防洪等综合利用的水利工程。为了更好的发挥工程效益，必须对工程设施进行维修养护。目前沙坝田水库存在以下问题：</w:t>
      </w:r>
    </w:p>
    <w:p w14:paraId="214C908C">
      <w:pPr>
        <w:keepNext w:val="0"/>
        <w:keepLines w:val="0"/>
        <w:pageBreakBefore w:val="0"/>
        <w:widowControl w:val="0"/>
        <w:kinsoku/>
        <w:wordWrap/>
        <w:overflowPunct/>
        <w:topLinePunct w:val="0"/>
        <w:bidi w:val="0"/>
        <w:spacing w:line="560" w:lineRule="exact"/>
        <w:ind w:firstLine="643" w:firstLineChars="200"/>
        <w:jc w:val="left"/>
        <w:textAlignment w:val="auto"/>
        <w:outlineLvl w:val="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sz w:val="32"/>
          <w:szCs w:val="32"/>
        </w:rPr>
        <w:t>一</w:t>
      </w:r>
      <w:r>
        <w:rPr>
          <w:rFonts w:hint="default" w:ascii="Times New Roman" w:hAnsi="Times New Roman" w:eastAsia="仿宋_GB2312" w:cs="Times New Roman"/>
          <w:b/>
          <w:color w:val="auto"/>
          <w:sz w:val="32"/>
          <w:szCs w:val="32"/>
        </w:rPr>
        <w:t>是</w:t>
      </w:r>
      <w:r>
        <w:rPr>
          <w:rFonts w:hint="default" w:ascii="Times New Roman" w:hAnsi="Times New Roman" w:eastAsia="仿宋_GB2312" w:cs="Times New Roman"/>
          <w:color w:val="auto"/>
          <w:sz w:val="32"/>
          <w:szCs w:val="32"/>
        </w:rPr>
        <w:t>溢洪道启闭机房和放水洞启闭机房天棚局部因屋顶防水</w:t>
      </w:r>
      <w:r>
        <w:rPr>
          <w:rFonts w:hint="default" w:ascii="Times New Roman" w:hAnsi="Times New Roman" w:eastAsia="仿宋_GB2312" w:cs="Times New Roman"/>
          <w:color w:val="auto"/>
          <w:sz w:val="32"/>
          <w:szCs w:val="32"/>
          <w:lang w:val="en-US" w:eastAsia="zh-CN"/>
        </w:rPr>
        <w:t>材料老化开裂</w:t>
      </w:r>
      <w:r>
        <w:rPr>
          <w:rFonts w:hint="default" w:ascii="Times New Roman" w:hAnsi="Times New Roman" w:eastAsia="仿宋_GB2312" w:cs="Times New Roman"/>
          <w:color w:val="auto"/>
          <w:sz w:val="32"/>
          <w:szCs w:val="32"/>
        </w:rPr>
        <w:t>导致雨水渗漏</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乳胶漆脱落；</w:t>
      </w:r>
      <w:r>
        <w:rPr>
          <w:rFonts w:hint="default" w:ascii="Times New Roman" w:hAnsi="Times New Roman" w:eastAsia="仿宋_GB2312" w:cs="Times New Roman"/>
          <w:b/>
          <w:color w:val="auto"/>
          <w:sz w:val="32"/>
          <w:szCs w:val="32"/>
        </w:rPr>
        <w:t>二是</w:t>
      </w:r>
      <w:r>
        <w:rPr>
          <w:rFonts w:hint="default" w:ascii="Times New Roman" w:hAnsi="Times New Roman" w:eastAsia="仿宋_GB2312" w:cs="Times New Roman"/>
          <w:color w:val="auto"/>
          <w:sz w:val="32"/>
          <w:szCs w:val="32"/>
        </w:rPr>
        <w:t>闸门</w:t>
      </w:r>
      <w:r>
        <w:rPr>
          <w:rFonts w:hint="default" w:ascii="Times New Roman" w:hAnsi="Times New Roman" w:eastAsia="仿宋_GB2312" w:cs="Times New Roman"/>
          <w:color w:val="auto"/>
          <w:sz w:val="32"/>
          <w:szCs w:val="32"/>
          <w:lang w:val="en-US" w:eastAsia="zh-CN"/>
        </w:rPr>
        <w:t>启闭</w:t>
      </w:r>
      <w:r>
        <w:rPr>
          <w:rFonts w:hint="default" w:ascii="Times New Roman" w:hAnsi="Times New Roman" w:eastAsia="仿宋_GB2312" w:cs="Times New Roman"/>
          <w:color w:val="auto"/>
          <w:sz w:val="32"/>
          <w:szCs w:val="32"/>
        </w:rPr>
        <w:t>钢绳</w:t>
      </w:r>
      <w:r>
        <w:rPr>
          <w:rFonts w:hint="default" w:ascii="Times New Roman" w:hAnsi="Times New Roman" w:eastAsia="仿宋_GB2312" w:cs="Times New Roman"/>
          <w:color w:val="auto"/>
          <w:sz w:val="32"/>
          <w:szCs w:val="32"/>
          <w:lang w:val="en-US" w:eastAsia="zh-CN"/>
        </w:rPr>
        <w:t>黄油</w:t>
      </w:r>
      <w:r>
        <w:rPr>
          <w:rFonts w:hint="default" w:ascii="Times New Roman" w:hAnsi="Times New Roman" w:eastAsia="仿宋_GB2312" w:cs="Times New Roman"/>
          <w:color w:val="auto"/>
          <w:sz w:val="32"/>
          <w:szCs w:val="32"/>
        </w:rPr>
        <w:t>风干</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启闭机油漆脱落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溢洪道启闭机房栏杆锈蚀；</w:t>
      </w:r>
      <w:r>
        <w:rPr>
          <w:rFonts w:hint="default" w:ascii="Times New Roman" w:hAnsi="Times New Roman" w:eastAsia="仿宋_GB2312" w:cs="Times New Roman"/>
          <w:b/>
          <w:color w:val="auto"/>
          <w:sz w:val="32"/>
          <w:szCs w:val="32"/>
        </w:rPr>
        <w:t>三是</w:t>
      </w:r>
      <w:r>
        <w:rPr>
          <w:rFonts w:hint="default" w:ascii="Times New Roman" w:hAnsi="Times New Roman" w:eastAsia="仿宋_GB2312" w:cs="Times New Roman"/>
          <w:color w:val="auto"/>
          <w:sz w:val="32"/>
          <w:szCs w:val="32"/>
          <w:lang w:val="en-US" w:eastAsia="zh-CN"/>
        </w:rPr>
        <w:t>闸门</w:t>
      </w:r>
      <w:r>
        <w:rPr>
          <w:rFonts w:hint="default" w:ascii="Times New Roman" w:hAnsi="Times New Roman" w:eastAsia="仿宋_GB2312" w:cs="Times New Roman"/>
          <w:color w:val="auto"/>
          <w:sz w:val="32"/>
          <w:szCs w:val="32"/>
        </w:rPr>
        <w:t>启闭机操作间</w:t>
      </w:r>
      <w:bookmarkStart w:id="47" w:name="_Toc1444"/>
      <w:r>
        <w:rPr>
          <w:rFonts w:hint="default" w:ascii="Times New Roman" w:hAnsi="Times New Roman" w:eastAsia="仿宋_GB2312" w:cs="Times New Roman"/>
          <w:color w:val="auto"/>
          <w:sz w:val="32"/>
          <w:szCs w:val="32"/>
        </w:rPr>
        <w:t>地坪漆大面积老化翘壳</w:t>
      </w:r>
      <w:bookmarkEnd w:id="47"/>
      <w:bookmarkStart w:id="48" w:name="OLE_LINK26"/>
      <w:bookmarkStart w:id="49" w:name="OLE_LINK25"/>
      <w:r>
        <w:rPr>
          <w:rFonts w:hint="default" w:ascii="Times New Roman" w:hAnsi="Times New Roman" w:eastAsia="仿宋_GB2312" w:cs="Times New Roman"/>
          <w:color w:val="auto"/>
          <w:sz w:val="32"/>
          <w:szCs w:val="32"/>
        </w:rPr>
        <w:t>；</w:t>
      </w:r>
      <w:bookmarkEnd w:id="48"/>
      <w:bookmarkEnd w:id="49"/>
      <w:r>
        <w:rPr>
          <w:rFonts w:hint="default" w:ascii="Times New Roman" w:hAnsi="Times New Roman" w:eastAsia="仿宋_GB2312" w:cs="Times New Roman"/>
          <w:b/>
          <w:color w:val="auto"/>
          <w:sz w:val="32"/>
          <w:szCs w:val="32"/>
        </w:rPr>
        <w:t>四是</w:t>
      </w:r>
      <w:r>
        <w:rPr>
          <w:rFonts w:hint="default" w:ascii="Times New Roman" w:hAnsi="Times New Roman" w:eastAsia="仿宋_GB2312" w:cs="Times New Roman"/>
          <w:color w:val="auto"/>
          <w:sz w:val="32"/>
          <w:szCs w:val="32"/>
        </w:rPr>
        <w:t>沙坝田水库在向啊喇乡农业灌溉供水和胜利水库调水期间，当放水流量大于1m</w:t>
      </w:r>
      <w:r>
        <w:rPr>
          <w:rFonts w:hint="default" w:ascii="Times New Roman" w:hAnsi="Times New Roman" w:eastAsia="仿宋_GB2312" w:cs="Times New Roman"/>
          <w:color w:val="auto"/>
          <w:sz w:val="32"/>
          <w:szCs w:val="32"/>
          <w:vertAlign w:val="superscript"/>
        </w:rPr>
        <w:t>3</w:t>
      </w:r>
      <w:r>
        <w:rPr>
          <w:rFonts w:hint="default" w:ascii="Times New Roman" w:hAnsi="Times New Roman" w:eastAsia="仿宋_GB2312" w:cs="Times New Roman"/>
          <w:color w:val="auto"/>
          <w:sz w:val="32"/>
          <w:szCs w:val="32"/>
        </w:rPr>
        <w:t>/s时,放水管压力钢管会出现小幅度震动，对钢管下面的支墩基础有一定影响，存在安全隐患。</w:t>
      </w:r>
    </w:p>
    <w:p w14:paraId="039654F5">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lang w:val="zh-CN"/>
        </w:rPr>
        <w:t>3．资金管理办法制定情况，资金支持具体项目的条件、范围与支持方式概况：</w:t>
      </w:r>
    </w:p>
    <w:p w14:paraId="5C3B8539">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color w:val="auto"/>
          <w:sz w:val="32"/>
          <w:szCs w:val="32"/>
          <w:lang w:val="zh-CN"/>
        </w:rPr>
      </w:pPr>
      <w:r>
        <w:rPr>
          <w:rFonts w:hint="eastAsia" w:ascii="Times New Roman" w:hAnsi="Times New Roman" w:eastAsia="仿宋_GB2312" w:cs="Times New Roman"/>
          <w:color w:val="auto"/>
          <w:sz w:val="32"/>
          <w:szCs w:val="32"/>
          <w:lang w:eastAsia="zh-CN"/>
        </w:rPr>
        <w:t>我</w:t>
      </w:r>
      <w:r>
        <w:rPr>
          <w:rFonts w:hint="default" w:ascii="Times New Roman" w:hAnsi="Times New Roman" w:eastAsia="仿宋_GB2312" w:cs="Times New Roman"/>
          <w:color w:val="auto"/>
          <w:sz w:val="32"/>
          <w:szCs w:val="32"/>
        </w:rPr>
        <w:t>中心</w:t>
      </w:r>
      <w:r>
        <w:rPr>
          <w:rFonts w:hint="default" w:ascii="Times New Roman" w:hAnsi="Times New Roman" w:eastAsia="仿宋_GB2312" w:cs="Times New Roman"/>
          <w:color w:val="auto"/>
          <w:sz w:val="32"/>
          <w:szCs w:val="32"/>
          <w:lang w:val="zh-CN"/>
        </w:rPr>
        <w:t>制订了资金管理办法，按规定编制预算；制定了预算执行计划，严格执行预算，对预算执行过程及结果进行了监督。</w:t>
      </w:r>
    </w:p>
    <w:p w14:paraId="39936215">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lang w:val="zh-CN"/>
        </w:rPr>
        <w:t>4. 资金分配的原则及考虑因素。</w:t>
      </w:r>
    </w:p>
    <w:p w14:paraId="673078A9">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sz w:val="32"/>
          <w:szCs w:val="32"/>
          <w:lang w:val="zh-CN"/>
        </w:rPr>
      </w:pPr>
      <w:r>
        <w:rPr>
          <w:rFonts w:hint="eastAsia" w:ascii="Times New Roman" w:hAnsi="Times New Roman" w:eastAsia="仿宋_GB2312" w:cs="Times New Roman"/>
          <w:color w:val="auto"/>
          <w:sz w:val="32"/>
          <w:szCs w:val="32"/>
          <w:lang w:eastAsia="zh-CN"/>
        </w:rPr>
        <w:t>我</w:t>
      </w:r>
      <w:r>
        <w:rPr>
          <w:rFonts w:hint="default" w:ascii="Times New Roman" w:hAnsi="Times New Roman" w:eastAsia="仿宋_GB2312" w:cs="Times New Roman"/>
          <w:color w:val="auto"/>
          <w:sz w:val="32"/>
          <w:szCs w:val="32"/>
        </w:rPr>
        <w:t>中心</w:t>
      </w:r>
      <w:r>
        <w:rPr>
          <w:rFonts w:hint="default" w:ascii="Times New Roman" w:hAnsi="Times New Roman" w:eastAsia="仿宋_GB2312" w:cs="Times New Roman"/>
          <w:color w:val="auto"/>
          <w:sz w:val="32"/>
          <w:szCs w:val="32"/>
          <w:lang w:val="zh-CN"/>
        </w:rPr>
        <w:t>按节约高效</w:t>
      </w:r>
      <w:r>
        <w:rPr>
          <w:rFonts w:hint="default" w:ascii="Times New Roman" w:hAnsi="Times New Roman" w:eastAsia="仿宋_GB2312" w:cs="Times New Roman"/>
          <w:sz w:val="32"/>
          <w:szCs w:val="32"/>
          <w:lang w:val="zh-CN"/>
        </w:rPr>
        <w:t>的资金分配原则对项目资金进行申请和支付。</w:t>
      </w:r>
    </w:p>
    <w:p w14:paraId="0909D751">
      <w:pPr>
        <w:keepNext w:val="0"/>
        <w:keepLines w:val="0"/>
        <w:pageBreakBefore w:val="0"/>
        <w:widowControl w:val="0"/>
        <w:kinsoku/>
        <w:wordWrap/>
        <w:overflowPunct/>
        <w:topLinePunct w:val="0"/>
        <w:bidi w:val="0"/>
        <w:adjustRightInd w:val="0"/>
        <w:snapToGrid w:val="0"/>
        <w:spacing w:line="560" w:lineRule="exact"/>
        <w:ind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（二）项目绩效目标。</w:t>
      </w:r>
    </w:p>
    <w:p w14:paraId="78DA6A8A">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1、项目主要内容</w:t>
      </w:r>
    </w:p>
    <w:p w14:paraId="78F44049">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沙坝田水库2025年度工程设施维修养护项目建设的主要内容：溢洪道启闭机房屋顶3mm厚SBS改性沥青防水卷材翻修、放水塔启闭机房屋顶3mm厚SBS改性沥青防水卷材翻修、溢洪道启闭机房地面地板砖铺设、放水塔启闭机房地面地板砖铺设、9道闸门钢绳保养、放水管支墩维修加固等内容。</w:t>
      </w:r>
    </w:p>
    <w:p w14:paraId="710C6D05">
      <w:pPr>
        <w:keepNext w:val="0"/>
        <w:keepLines w:val="0"/>
        <w:pageBreakBefore w:val="0"/>
        <w:widowControl w:val="0"/>
        <w:kinsoku/>
        <w:wordWrap/>
        <w:overflowPunct/>
        <w:topLinePunct w:val="0"/>
        <w:bidi w:val="0"/>
        <w:adjustRightInd w:val="0"/>
        <w:snapToGrid w:val="0"/>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2、项目绩效目标</w:t>
      </w:r>
    </w:p>
    <w:p w14:paraId="7DA2787F">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rPr>
        <w:t>沙坝田水库</w:t>
      </w:r>
      <w:bookmarkStart w:id="50" w:name="OLE_LINK21"/>
      <w:bookmarkStart w:id="51" w:name="OLE_LINK22"/>
      <w:r>
        <w:rPr>
          <w:rFonts w:hint="default" w:ascii="Times New Roman" w:hAnsi="Times New Roman" w:eastAsia="仿宋_GB2312" w:cs="Times New Roman"/>
          <w:sz w:val="32"/>
          <w:szCs w:val="32"/>
          <w:lang w:val="zh-CN"/>
        </w:rPr>
        <w:t>2025年度工程设施维修养护项目</w:t>
      </w:r>
      <w:bookmarkEnd w:id="50"/>
      <w:bookmarkEnd w:id="51"/>
      <w:r>
        <w:rPr>
          <w:rFonts w:hint="default" w:ascii="Times New Roman" w:hAnsi="Times New Roman" w:eastAsia="仿宋_GB2312" w:cs="Times New Roman"/>
          <w:color w:val="000000"/>
          <w:spacing w:val="-1"/>
          <w:sz w:val="32"/>
          <w:szCs w:val="32"/>
        </w:rPr>
        <w:t>于2025年5月25日开工，2025年7月15日完工</w:t>
      </w:r>
      <w:r>
        <w:rPr>
          <w:rFonts w:hint="default" w:ascii="Times New Roman" w:hAnsi="Times New Roman" w:eastAsia="仿宋_GB2312" w:cs="Times New Roman"/>
          <w:color w:val="auto"/>
          <w:spacing w:val="-1"/>
          <w:sz w:val="32"/>
          <w:szCs w:val="32"/>
          <w:lang w:eastAsia="zh-CN"/>
        </w:rPr>
        <w:t>，</w:t>
      </w:r>
      <w:r>
        <w:rPr>
          <w:rFonts w:hint="default" w:ascii="Times New Roman" w:hAnsi="Times New Roman" w:eastAsia="仿宋_GB2312" w:cs="Times New Roman"/>
          <w:color w:val="000000"/>
          <w:spacing w:val="-1"/>
          <w:sz w:val="32"/>
          <w:szCs w:val="32"/>
        </w:rPr>
        <w:t>2025年8月完成了该项目的竣（完）工验收工作。</w:t>
      </w:r>
      <w:r>
        <w:rPr>
          <w:rFonts w:hint="default" w:ascii="Times New Roman" w:hAnsi="Times New Roman" w:eastAsia="仿宋_GB2312" w:cs="Times New Roman"/>
          <w:strike w:val="0"/>
          <w:dstrike w:val="0"/>
          <w:color w:val="auto"/>
          <w:sz w:val="32"/>
          <w:szCs w:val="32"/>
          <w:lang w:val="en-US" w:eastAsia="zh-CN"/>
        </w:rPr>
        <w:t>圆满完成了绩效目标任务</w:t>
      </w:r>
      <w:r>
        <w:rPr>
          <w:rFonts w:hint="default" w:ascii="Times New Roman" w:hAnsi="Times New Roman" w:eastAsia="仿宋_GB2312" w:cs="Times New Roman"/>
          <w:color w:val="auto"/>
          <w:sz w:val="32"/>
          <w:szCs w:val="32"/>
        </w:rPr>
        <w:t>。</w:t>
      </w:r>
    </w:p>
    <w:p w14:paraId="553C8F8B">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3．项目资金申报相符性。</w:t>
      </w:r>
    </w:p>
    <w:p w14:paraId="6B5C871E">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项目经费申报内容与实际相符，申报目标合理可行。</w:t>
      </w:r>
    </w:p>
    <w:p w14:paraId="4BD02C04">
      <w:pPr>
        <w:keepNext w:val="0"/>
        <w:keepLines w:val="0"/>
        <w:pageBreakBefore w:val="0"/>
        <w:widowControl w:val="0"/>
        <w:kinsoku/>
        <w:wordWrap/>
        <w:overflowPunct/>
        <w:topLinePunct w:val="0"/>
        <w:bidi w:val="0"/>
        <w:adjustRightInd w:val="0"/>
        <w:snapToGrid w:val="0"/>
        <w:spacing w:line="560" w:lineRule="exact"/>
        <w:ind w:firstLine="640" w:firstLineChars="200"/>
        <w:jc w:val="left"/>
        <w:textAlignment w:val="auto"/>
        <w:rPr>
          <w:rFonts w:hint="default" w:ascii="Times New Roman" w:hAnsi="Times New Roman" w:eastAsia="仿宋_GB2312" w:cs="Times New Roman"/>
          <w:sz w:val="32"/>
          <w:szCs w:val="32"/>
          <w:lang w:val="zh-CN"/>
        </w:rPr>
      </w:pPr>
      <w:r>
        <w:rPr>
          <w:rFonts w:hint="default" w:ascii="Times New Roman" w:hAnsi="Times New Roman" w:eastAsia="楷体_GB2312" w:cs="Times New Roman"/>
          <w:sz w:val="32"/>
          <w:szCs w:val="32"/>
          <w:lang w:val="zh-CN"/>
        </w:rPr>
        <w:t>（</w:t>
      </w:r>
      <w:r>
        <w:rPr>
          <w:rFonts w:hint="default" w:ascii="Times New Roman" w:hAnsi="Times New Roman" w:eastAsia="楷体_GB2312" w:cs="Times New Roman"/>
          <w:sz w:val="32"/>
          <w:szCs w:val="32"/>
        </w:rPr>
        <w:t>三</w:t>
      </w:r>
      <w:r>
        <w:rPr>
          <w:rFonts w:hint="default" w:ascii="Times New Roman" w:hAnsi="Times New Roman" w:eastAsia="楷体_GB2312" w:cs="Times New Roman"/>
          <w:sz w:val="32"/>
          <w:szCs w:val="32"/>
          <w:lang w:val="zh-CN"/>
        </w:rPr>
        <w:t>）项目自评步骤及方法（</w:t>
      </w:r>
      <w:r>
        <w:rPr>
          <w:rFonts w:hint="default" w:ascii="Times New Roman" w:hAnsi="Times New Roman" w:eastAsia="仿宋_GB2312" w:cs="Times New Roman"/>
          <w:sz w:val="32"/>
          <w:szCs w:val="32"/>
          <w:lang w:val="zh-CN"/>
        </w:rPr>
        <w:t>说明项目绩效自评采用的组织实施步骤及方法</w:t>
      </w:r>
      <w:r>
        <w:rPr>
          <w:rFonts w:hint="default" w:ascii="Times New Roman" w:hAnsi="Times New Roman" w:eastAsia="楷体_GB2312" w:cs="Times New Roman"/>
          <w:sz w:val="32"/>
          <w:szCs w:val="32"/>
          <w:lang w:val="zh-CN"/>
        </w:rPr>
        <w:t>）：</w:t>
      </w:r>
    </w:p>
    <w:p w14:paraId="6EAB4D76">
      <w:pPr>
        <w:keepNext w:val="0"/>
        <w:keepLines w:val="0"/>
        <w:pageBreakBefore w:val="0"/>
        <w:widowControl w:val="0"/>
        <w:kinsoku/>
        <w:wordWrap/>
        <w:overflowPunct/>
        <w:topLinePunct w:val="0"/>
        <w:bidi w:val="0"/>
        <w:spacing w:line="560"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评价组通过座谈交流、查阅资料的方式，对</w:t>
      </w:r>
      <w:r>
        <w:rPr>
          <w:rFonts w:hint="eastAsia" w:ascii="Times New Roman" w:hAnsi="Times New Roman" w:eastAsia="仿宋_GB2312" w:cs="Times New Roman"/>
          <w:kern w:val="2"/>
          <w:sz w:val="32"/>
          <w:szCs w:val="32"/>
          <w:lang w:val="en-US" w:eastAsia="zh-CN" w:bidi="ar-SA"/>
        </w:rPr>
        <w:t>该项目</w:t>
      </w:r>
      <w:r>
        <w:rPr>
          <w:rFonts w:hint="default" w:ascii="Times New Roman" w:hAnsi="Times New Roman" w:eastAsia="仿宋_GB2312" w:cs="Times New Roman"/>
          <w:kern w:val="2"/>
          <w:sz w:val="32"/>
          <w:szCs w:val="32"/>
          <w:lang w:val="en-US" w:eastAsia="zh-CN" w:bidi="ar-SA"/>
        </w:rPr>
        <w:t>的专项预算管理、绩效结果运用以及是否存在违规违纪等方面进行了综合评价。</w:t>
      </w:r>
    </w:p>
    <w:p w14:paraId="5A93AAE3">
      <w:pPr>
        <w:keepNext w:val="0"/>
        <w:keepLines w:val="0"/>
        <w:pageBreakBefore w:val="0"/>
        <w:widowControl w:val="0"/>
        <w:numPr>
          <w:ilvl w:val="0"/>
          <w:numId w:val="4"/>
        </w:numPr>
        <w:kinsoku/>
        <w:wordWrap/>
        <w:overflowPunct/>
        <w:topLinePunct w:val="0"/>
        <w:bidi w:val="0"/>
        <w:spacing w:line="560" w:lineRule="exact"/>
        <w:ind w:firstLine="640" w:firstLineChars="200"/>
        <w:jc w:val="left"/>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项目资金申报及使用情况</w:t>
      </w:r>
    </w:p>
    <w:p w14:paraId="7428F6A7">
      <w:pPr>
        <w:keepNext w:val="0"/>
        <w:keepLines w:val="0"/>
        <w:pageBreakBefore w:val="0"/>
        <w:widowControl w:val="0"/>
        <w:numPr>
          <w:ilvl w:val="0"/>
          <w:numId w:val="5"/>
        </w:numPr>
        <w:kinsoku/>
        <w:wordWrap/>
        <w:overflowPunct/>
        <w:topLinePunct w:val="0"/>
        <w:bidi w:val="0"/>
        <w:adjustRightInd w:val="0"/>
        <w:snapToGrid w:val="0"/>
        <w:spacing w:line="560" w:lineRule="exact"/>
        <w:ind w:firstLine="320" w:firstLineChars="100"/>
        <w:jc w:val="left"/>
        <w:textAlignment w:val="auto"/>
        <w:rPr>
          <w:rFonts w:hint="default" w:ascii="Times New Roman" w:hAnsi="Times New Roman" w:eastAsia="楷体_GB2312" w:cs="Times New Roman"/>
          <w:sz w:val="32"/>
          <w:szCs w:val="32"/>
          <w:lang w:val="zh-CN"/>
        </w:rPr>
      </w:pPr>
      <w:r>
        <w:rPr>
          <w:rFonts w:hint="default" w:ascii="Times New Roman" w:hAnsi="Times New Roman" w:eastAsia="楷体_GB2312" w:cs="Times New Roman"/>
          <w:sz w:val="32"/>
          <w:szCs w:val="32"/>
          <w:lang w:val="zh-CN"/>
        </w:rPr>
        <w:t>项目资金申报及批复情况。</w:t>
      </w:r>
    </w:p>
    <w:p w14:paraId="53DE5051">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2025年1月17日《四川省水利厅关于做好2025年度小型水库维修养护项目相关工作的通知》（川水函〔2025〕86号）、2025年1月10日《攀枝花市财政局 攀枝花市水利局关于下达2025年中央水利发展资金预算的通知》（攀财资农〔2025〕2号）,分解下达2025年度中央水利发展资金规模和总体任务6万元给攀枝花市胜利水利工程运行中心，用于沙坝田水库工程维修养护项目。</w:t>
      </w:r>
    </w:p>
    <w:p w14:paraId="31DE050E">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2025年4月14日，攀枝花市水利局以《关于2025年省级水利发展资金小型水库维修养护项目沙坝田水库建设项目实施方案的批复》(〔2025〕75号)文件对该项目进行了批复。</w:t>
      </w:r>
    </w:p>
    <w:p w14:paraId="37B51DFC">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楷体_GB2312" w:cs="Times New Roman"/>
          <w:b/>
          <w:sz w:val="32"/>
          <w:szCs w:val="32"/>
          <w:lang w:val="zh-CN"/>
        </w:rPr>
      </w:pPr>
      <w:r>
        <w:rPr>
          <w:rFonts w:hint="default" w:ascii="Times New Roman" w:hAnsi="Times New Roman" w:eastAsia="楷体_GB2312" w:cs="Times New Roman"/>
          <w:kern w:val="0"/>
          <w:sz w:val="32"/>
          <w:szCs w:val="32"/>
          <w:lang w:val="zh-CN"/>
        </w:rPr>
        <w:t>（</w:t>
      </w:r>
      <w:r>
        <w:rPr>
          <w:rFonts w:hint="default" w:ascii="Times New Roman" w:hAnsi="Times New Roman" w:eastAsia="楷体_GB2312" w:cs="Times New Roman"/>
          <w:kern w:val="0"/>
          <w:sz w:val="32"/>
          <w:szCs w:val="32"/>
        </w:rPr>
        <w:t>二</w:t>
      </w:r>
      <w:r>
        <w:rPr>
          <w:rFonts w:hint="default" w:ascii="Times New Roman" w:hAnsi="Times New Roman" w:eastAsia="楷体_GB2312" w:cs="Times New Roman"/>
          <w:kern w:val="0"/>
          <w:sz w:val="32"/>
          <w:szCs w:val="32"/>
          <w:lang w:val="zh-CN"/>
        </w:rPr>
        <w:t>）资金计划、到位及使用情况。</w:t>
      </w:r>
    </w:p>
    <w:p w14:paraId="24D34598">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zh-CN"/>
        </w:rPr>
        <w:t>1．资金计划及到位。</w:t>
      </w:r>
      <w:r>
        <w:rPr>
          <w:rFonts w:hint="default" w:ascii="Times New Roman" w:hAnsi="Times New Roman" w:eastAsia="仿宋_GB2312" w:cs="Times New Roman"/>
          <w:sz w:val="32"/>
          <w:szCs w:val="32"/>
        </w:rPr>
        <w:t>2025年1月10日，攀枝花市财政局下达项目经费6万元，</w:t>
      </w:r>
      <w:bookmarkStart w:id="52" w:name="OLE_LINK23"/>
      <w:bookmarkStart w:id="53" w:name="OLE_LINK24"/>
      <w:r>
        <w:rPr>
          <w:rFonts w:hint="default" w:ascii="Times New Roman" w:hAnsi="Times New Roman" w:eastAsia="仿宋_GB2312" w:cs="Times New Roman"/>
          <w:sz w:val="32"/>
          <w:szCs w:val="32"/>
        </w:rPr>
        <w:t>用于沙坝田水库</w:t>
      </w:r>
      <w:r>
        <w:rPr>
          <w:rFonts w:hint="default" w:ascii="Times New Roman" w:hAnsi="Times New Roman" w:eastAsia="仿宋_GB2312" w:cs="Times New Roman"/>
          <w:sz w:val="32"/>
          <w:szCs w:val="32"/>
          <w:lang w:val="zh-CN"/>
        </w:rPr>
        <w:t>2025年度工程设施维修养护项目</w:t>
      </w:r>
      <w:bookmarkEnd w:id="52"/>
      <w:bookmarkEnd w:id="53"/>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rPr>
        <w:t>资金到位及时。</w:t>
      </w:r>
    </w:p>
    <w:p w14:paraId="58038976">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sz w:val="32"/>
          <w:szCs w:val="32"/>
          <w:lang w:val="zh-CN"/>
        </w:rPr>
      </w:pPr>
      <w:r>
        <w:rPr>
          <w:rFonts w:hint="default" w:ascii="Times New Roman" w:hAnsi="Times New Roman" w:eastAsia="楷体_GB2312" w:cs="Times New Roman"/>
          <w:sz w:val="32"/>
          <w:szCs w:val="32"/>
          <w:lang w:val="zh-CN"/>
        </w:rPr>
        <w:t>2．资金使用。</w:t>
      </w:r>
      <w:r>
        <w:rPr>
          <w:rFonts w:hint="default" w:ascii="Times New Roman" w:hAnsi="Times New Roman" w:eastAsia="仿宋_GB2312" w:cs="Times New Roman"/>
          <w:sz w:val="32"/>
          <w:szCs w:val="32"/>
          <w:lang w:val="zh-CN"/>
        </w:rPr>
        <w:t>截至评价</w:t>
      </w:r>
      <w:r>
        <w:rPr>
          <w:rFonts w:hint="default" w:ascii="Times New Roman" w:hAnsi="Times New Roman" w:eastAsia="仿宋_GB2312" w:cs="Times New Roman"/>
          <w:sz w:val="32"/>
          <w:szCs w:val="32"/>
        </w:rPr>
        <w:t>时间</w:t>
      </w:r>
      <w:r>
        <w:rPr>
          <w:rFonts w:hint="default" w:ascii="Times New Roman" w:hAnsi="Times New Roman" w:eastAsia="仿宋_GB2312" w:cs="Times New Roman"/>
          <w:sz w:val="32"/>
          <w:szCs w:val="32"/>
          <w:lang w:val="zh-CN"/>
        </w:rPr>
        <w:t>点</w:t>
      </w:r>
      <w:r>
        <w:rPr>
          <w:rFonts w:hint="default" w:ascii="Times New Roman" w:hAnsi="Times New Roman" w:eastAsia="仿宋_GB2312" w:cs="Times New Roman"/>
          <w:sz w:val="32"/>
          <w:szCs w:val="32"/>
        </w:rPr>
        <w:t>沙坝田水库</w:t>
      </w:r>
      <w:r>
        <w:rPr>
          <w:rFonts w:hint="default" w:ascii="Times New Roman" w:hAnsi="Times New Roman" w:eastAsia="仿宋_GB2312" w:cs="Times New Roman"/>
          <w:sz w:val="32"/>
          <w:szCs w:val="32"/>
          <w:lang w:val="zh-CN"/>
        </w:rPr>
        <w:t>2025年度工程设施维修养护项目</w:t>
      </w:r>
      <w:r>
        <w:rPr>
          <w:rFonts w:hint="default" w:ascii="Times New Roman" w:hAnsi="Times New Roman" w:eastAsia="仿宋_GB2312" w:cs="Times New Roman"/>
          <w:sz w:val="32"/>
          <w:szCs w:val="32"/>
        </w:rPr>
        <w:t>总投资为6万元（其中：中央财政资金6万元，自筹资金0万元），目前中央财政资金</w:t>
      </w:r>
      <w:r>
        <w:rPr>
          <w:rFonts w:hint="default" w:ascii="Times New Roman" w:hAnsi="Times New Roman" w:eastAsia="仿宋_GB2312" w:cs="Times New Roman"/>
          <w:sz w:val="32"/>
          <w:szCs w:val="32"/>
          <w:lang w:val="zh-CN"/>
        </w:rPr>
        <w:t>实际支出</w:t>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lang w:val="zh-CN"/>
        </w:rPr>
        <w:t>万元，资金使用率为</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lang w:val="zh-CN"/>
        </w:rPr>
        <w:t>%，资金支付与预算相符。</w:t>
      </w:r>
    </w:p>
    <w:p w14:paraId="42EE87FA">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sz w:val="32"/>
          <w:szCs w:val="32"/>
          <w:lang w:val="zh-CN"/>
        </w:rPr>
      </w:pPr>
      <w:r>
        <w:rPr>
          <w:rFonts w:hint="default" w:ascii="Times New Roman" w:hAnsi="Times New Roman" w:eastAsia="楷体_GB2312" w:cs="Times New Roman"/>
          <w:kern w:val="0"/>
          <w:sz w:val="32"/>
          <w:szCs w:val="32"/>
          <w:lang w:val="zh-CN"/>
        </w:rPr>
        <w:t>（</w:t>
      </w:r>
      <w:r>
        <w:rPr>
          <w:rFonts w:hint="default" w:ascii="Times New Roman" w:hAnsi="Times New Roman" w:eastAsia="楷体_GB2312" w:cs="Times New Roman"/>
          <w:kern w:val="0"/>
          <w:sz w:val="32"/>
          <w:szCs w:val="32"/>
        </w:rPr>
        <w:t>三</w:t>
      </w:r>
      <w:r>
        <w:rPr>
          <w:rFonts w:hint="default" w:ascii="Times New Roman" w:hAnsi="Times New Roman" w:eastAsia="楷体_GB2312" w:cs="Times New Roman"/>
          <w:kern w:val="0"/>
          <w:sz w:val="32"/>
          <w:szCs w:val="32"/>
          <w:lang w:val="zh-CN"/>
        </w:rPr>
        <w:t>）项目财务管理情况。</w:t>
      </w:r>
    </w:p>
    <w:p w14:paraId="2E284FFA">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sz w:val="32"/>
          <w:szCs w:val="32"/>
          <w:lang w:val="zh-CN"/>
        </w:rPr>
      </w:pPr>
      <w:bookmarkStart w:id="54" w:name="OLE_LINK27"/>
      <w:r>
        <w:rPr>
          <w:rFonts w:hint="default" w:ascii="Times New Roman" w:hAnsi="Times New Roman" w:eastAsia="仿宋_GB2312" w:cs="Times New Roman"/>
          <w:sz w:val="32"/>
          <w:szCs w:val="32"/>
        </w:rPr>
        <w:t>沙坝田水库</w:t>
      </w:r>
      <w:r>
        <w:rPr>
          <w:rFonts w:hint="default" w:ascii="Times New Roman" w:hAnsi="Times New Roman" w:eastAsia="仿宋_GB2312" w:cs="Times New Roman"/>
          <w:sz w:val="32"/>
          <w:szCs w:val="32"/>
          <w:lang w:val="zh-CN"/>
        </w:rPr>
        <w:t>2025年度工程设施维修养护项目</w:t>
      </w:r>
      <w:bookmarkEnd w:id="54"/>
      <w:r>
        <w:rPr>
          <w:rFonts w:hint="default" w:ascii="Times New Roman" w:hAnsi="Times New Roman" w:eastAsia="仿宋_GB2312" w:cs="Times New Roman"/>
          <w:kern w:val="0"/>
          <w:sz w:val="32"/>
          <w:szCs w:val="32"/>
        </w:rPr>
        <w:t>资金管理严格遵守相关法律法规，严格执行财务管理制度，对项目专项资金实行单独核算、专款专用的原则，无专项资金被挤占、截留和挪用现象</w:t>
      </w:r>
      <w:r>
        <w:rPr>
          <w:rFonts w:hint="default" w:ascii="Times New Roman" w:hAnsi="Times New Roman" w:eastAsia="仿宋_GB2312" w:cs="Times New Roman"/>
          <w:sz w:val="32"/>
          <w:szCs w:val="32"/>
          <w:lang w:val="zh-CN"/>
        </w:rPr>
        <w:t>。</w:t>
      </w:r>
    </w:p>
    <w:p w14:paraId="07B72BBA">
      <w:pPr>
        <w:keepNext w:val="0"/>
        <w:keepLines w:val="0"/>
        <w:pageBreakBefore w:val="0"/>
        <w:widowControl w:val="0"/>
        <w:numPr>
          <w:ilvl w:val="0"/>
          <w:numId w:val="4"/>
        </w:numPr>
        <w:kinsoku/>
        <w:wordWrap/>
        <w:overflowPunct/>
        <w:topLinePunct w:val="0"/>
        <w:bidi w:val="0"/>
        <w:adjustRightInd w:val="0"/>
        <w:snapToGrid w:val="0"/>
        <w:spacing w:line="56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项目实施及管理情况</w:t>
      </w:r>
    </w:p>
    <w:p w14:paraId="380EDFDF">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楷体_GB2312" w:cs="Times New Roman"/>
          <w:bCs/>
          <w:sz w:val="32"/>
          <w:szCs w:val="32"/>
          <w:lang w:val="zh-CN"/>
        </w:rPr>
      </w:pPr>
      <w:r>
        <w:rPr>
          <w:rFonts w:hint="default" w:ascii="Times New Roman" w:hAnsi="Times New Roman" w:eastAsia="楷体_GB2312" w:cs="Times New Roman"/>
          <w:bCs/>
          <w:sz w:val="32"/>
          <w:szCs w:val="32"/>
          <w:lang w:val="zh-CN"/>
        </w:rPr>
        <w:t>（一）项目组织架构及实施流程。</w:t>
      </w:r>
    </w:p>
    <w:p w14:paraId="0FF445AE">
      <w:pPr>
        <w:keepNext w:val="0"/>
        <w:keepLines w:val="0"/>
        <w:pageBreakBefore w:val="0"/>
        <w:widowControl w:val="0"/>
        <w:kinsoku/>
        <w:wordWrap/>
        <w:overflowPunct/>
        <w:topLinePunct w:val="0"/>
        <w:bidi w:val="0"/>
        <w:adjustRightInd w:val="0"/>
        <w:snapToGrid w:val="0"/>
        <w:spacing w:line="560" w:lineRule="exact"/>
        <w:ind w:firstLine="640" w:firstLineChars="200"/>
        <w:jc w:val="left"/>
        <w:textAlignment w:val="auto"/>
        <w:rPr>
          <w:rFonts w:hint="default" w:ascii="Times New Roman" w:hAnsi="Times New Roman" w:eastAsia="黑体" w:cs="Times New Roman"/>
          <w:color w:val="auto"/>
          <w:sz w:val="32"/>
          <w:szCs w:val="32"/>
        </w:rPr>
      </w:pPr>
      <w:r>
        <w:rPr>
          <w:rFonts w:hint="default" w:ascii="Times New Roman" w:hAnsi="Times New Roman" w:eastAsia="仿宋_GB2312" w:cs="Times New Roman"/>
          <w:sz w:val="32"/>
          <w:szCs w:val="32"/>
        </w:rPr>
        <w:t>沙坝田水库</w:t>
      </w:r>
      <w:r>
        <w:rPr>
          <w:rFonts w:hint="default" w:ascii="Times New Roman" w:hAnsi="Times New Roman" w:eastAsia="仿宋_GB2312" w:cs="Times New Roman"/>
          <w:sz w:val="32"/>
          <w:szCs w:val="32"/>
          <w:lang w:val="zh-CN"/>
        </w:rPr>
        <w:t>2025年度工程设施维修养护项目</w:t>
      </w:r>
      <w:r>
        <w:rPr>
          <w:rFonts w:hint="default" w:ascii="Times New Roman" w:hAnsi="Times New Roman" w:eastAsia="仿宋_GB2312" w:cs="Times New Roman"/>
          <w:color w:val="auto"/>
          <w:kern w:val="0"/>
          <w:sz w:val="32"/>
          <w:szCs w:val="32"/>
        </w:rPr>
        <w:t>由</w:t>
      </w:r>
      <w:r>
        <w:rPr>
          <w:rFonts w:hint="default" w:ascii="Times New Roman" w:hAnsi="Times New Roman" w:eastAsia="仿宋_GB2312" w:cs="Times New Roman"/>
          <w:color w:val="auto"/>
          <w:kern w:val="0"/>
          <w:sz w:val="32"/>
          <w:szCs w:val="32"/>
          <w:lang w:val="en-US" w:eastAsia="zh-CN"/>
        </w:rPr>
        <w:t>相关</w:t>
      </w:r>
      <w:r>
        <w:rPr>
          <w:rFonts w:hint="default" w:ascii="Times New Roman" w:hAnsi="Times New Roman" w:eastAsia="仿宋_GB2312" w:cs="Times New Roman"/>
          <w:color w:val="auto"/>
          <w:kern w:val="0"/>
          <w:sz w:val="32"/>
          <w:szCs w:val="32"/>
        </w:rPr>
        <w:t>科室向领导班子做出初步规划汇报后，由中心主任办公会讨论决定</w:t>
      </w:r>
      <w:r>
        <w:rPr>
          <w:rFonts w:hint="eastAsia" w:ascii="Times New Roman" w:hAnsi="Times New Roman" w:eastAsia="仿宋_GB2312" w:cs="Times New Roman"/>
          <w:color w:val="auto"/>
          <w:kern w:val="0"/>
          <w:sz w:val="32"/>
          <w:szCs w:val="32"/>
          <w:lang w:eastAsia="zh-CN"/>
        </w:rPr>
        <w:t>同意实施该项目</w:t>
      </w:r>
      <w:r>
        <w:rPr>
          <w:rFonts w:hint="default" w:ascii="Times New Roman" w:hAnsi="Times New Roman" w:eastAsia="仿宋_GB2312" w:cs="Times New Roman"/>
          <w:color w:val="auto"/>
          <w:kern w:val="0"/>
          <w:sz w:val="32"/>
          <w:szCs w:val="32"/>
        </w:rPr>
        <w:t>。</w:t>
      </w:r>
    </w:p>
    <w:p w14:paraId="611F525E">
      <w:pPr>
        <w:keepNext w:val="0"/>
        <w:keepLines w:val="0"/>
        <w:pageBreakBefore w:val="0"/>
        <w:widowControl w:val="0"/>
        <w:kinsoku/>
        <w:wordWrap/>
        <w:overflowPunct/>
        <w:topLinePunct w:val="0"/>
        <w:bidi w:val="0"/>
        <w:adjustRightInd w:val="0"/>
        <w:snapToGrid w:val="0"/>
        <w:spacing w:line="560" w:lineRule="exact"/>
        <w:ind w:firstLine="640" w:firstLineChars="200"/>
        <w:jc w:val="left"/>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（二）项目管理情况</w:t>
      </w:r>
    </w:p>
    <w:p w14:paraId="08C44876">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auto"/>
          <w:kern w:val="0"/>
          <w:sz w:val="32"/>
          <w:szCs w:val="32"/>
        </w:rPr>
        <w:t>项目采取公开比选方式确定</w:t>
      </w:r>
      <w:r>
        <w:rPr>
          <w:rFonts w:hint="default" w:ascii="Times New Roman" w:hAnsi="Times New Roman" w:eastAsia="仿宋_GB2312" w:cs="Times New Roman"/>
          <w:color w:val="auto"/>
          <w:kern w:val="0"/>
          <w:sz w:val="32"/>
          <w:szCs w:val="32"/>
          <w:lang w:val="en-US" w:eastAsia="zh-CN"/>
        </w:rPr>
        <w:t>施工</w:t>
      </w:r>
      <w:r>
        <w:rPr>
          <w:rFonts w:hint="default" w:ascii="Times New Roman" w:hAnsi="Times New Roman" w:eastAsia="仿宋_GB2312" w:cs="Times New Roman"/>
          <w:color w:val="auto"/>
          <w:kern w:val="0"/>
          <w:sz w:val="32"/>
          <w:szCs w:val="32"/>
        </w:rPr>
        <w:t>单位，在比选</w:t>
      </w:r>
      <w:r>
        <w:rPr>
          <w:rFonts w:hint="default" w:ascii="Times New Roman" w:hAnsi="Times New Roman" w:eastAsia="仿宋_GB2312" w:cs="Times New Roman"/>
          <w:kern w:val="0"/>
          <w:sz w:val="32"/>
          <w:szCs w:val="32"/>
        </w:rPr>
        <w:t>、公示、建设、验收等各个环节，严格按照《工程项目管理制度》执行。</w:t>
      </w:r>
    </w:p>
    <w:p w14:paraId="0555BECE">
      <w:pPr>
        <w:keepNext w:val="0"/>
        <w:keepLines w:val="0"/>
        <w:pageBreakBefore w:val="0"/>
        <w:widowControl w:val="0"/>
        <w:kinsoku/>
        <w:wordWrap/>
        <w:overflowPunct/>
        <w:topLinePunct w:val="0"/>
        <w:bidi w:val="0"/>
        <w:adjustRightInd w:val="0"/>
        <w:snapToGrid w:val="0"/>
        <w:spacing w:line="560" w:lineRule="exact"/>
        <w:ind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w:t>
      </w:r>
      <w:r>
        <w:rPr>
          <w:rFonts w:hint="default" w:ascii="Times New Roman" w:hAnsi="Times New Roman" w:eastAsia="楷体_GB2312" w:cs="Times New Roman"/>
          <w:sz w:val="32"/>
          <w:szCs w:val="32"/>
          <w:lang w:val="zh-CN"/>
        </w:rPr>
        <w:t>项目监管情况</w:t>
      </w:r>
    </w:p>
    <w:p w14:paraId="1BBE099C">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市水利局</w:t>
      </w:r>
      <w:r>
        <w:rPr>
          <w:rFonts w:hint="default" w:ascii="Times New Roman" w:hAnsi="Times New Roman" w:eastAsia="仿宋_GB2312" w:cs="Times New Roman"/>
          <w:kern w:val="0"/>
          <w:sz w:val="32"/>
          <w:szCs w:val="32"/>
        </w:rPr>
        <w:t>对</w:t>
      </w:r>
      <w:r>
        <w:rPr>
          <w:rFonts w:hint="eastAsia" w:ascii="Times New Roman" w:hAnsi="Times New Roman" w:eastAsia="仿宋_GB2312" w:cs="Times New Roman"/>
          <w:kern w:val="0"/>
          <w:sz w:val="32"/>
          <w:szCs w:val="32"/>
          <w:lang w:eastAsia="zh-CN"/>
        </w:rPr>
        <w:t>该项目</w:t>
      </w:r>
      <w:r>
        <w:rPr>
          <w:rFonts w:hint="default" w:ascii="Times New Roman" w:hAnsi="Times New Roman" w:eastAsia="仿宋_GB2312" w:cs="Times New Roman"/>
          <w:kern w:val="0"/>
          <w:sz w:val="32"/>
          <w:szCs w:val="32"/>
        </w:rPr>
        <w:t>事前、事中、事后全程监管。</w:t>
      </w:r>
    </w:p>
    <w:p w14:paraId="0915D072">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sz w:val="32"/>
          <w:szCs w:val="32"/>
          <w:lang w:val="zh-CN"/>
        </w:rPr>
      </w:pPr>
      <w:r>
        <w:rPr>
          <w:rFonts w:hint="default" w:ascii="Times New Roman" w:hAnsi="Times New Roman" w:eastAsia="黑体" w:cs="Times New Roman"/>
          <w:sz w:val="32"/>
          <w:szCs w:val="32"/>
        </w:rPr>
        <w:t>四、项目绩效情况</w:t>
      </w:r>
      <w:r>
        <w:rPr>
          <w:rFonts w:hint="default" w:ascii="Times New Roman" w:hAnsi="Times New Roman" w:eastAsia="仿宋_GB2312" w:cs="Times New Roman"/>
          <w:sz w:val="32"/>
          <w:szCs w:val="32"/>
          <w:lang w:val="zh-CN"/>
        </w:rPr>
        <w:tab/>
      </w:r>
    </w:p>
    <w:p w14:paraId="30F4928C">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楷体_GB2312" w:cs="Times New Roman"/>
          <w:kern w:val="0"/>
          <w:sz w:val="32"/>
          <w:szCs w:val="32"/>
          <w:lang w:val="zh-CN"/>
        </w:rPr>
      </w:pPr>
      <w:r>
        <w:rPr>
          <w:rFonts w:hint="default" w:ascii="Times New Roman" w:hAnsi="Times New Roman" w:eastAsia="楷体_GB2312" w:cs="Times New Roman"/>
          <w:kern w:val="0"/>
          <w:sz w:val="32"/>
          <w:szCs w:val="32"/>
          <w:lang w:val="zh-CN"/>
        </w:rPr>
        <w:t>（一）项目完成情况。</w:t>
      </w:r>
    </w:p>
    <w:p w14:paraId="6208E225">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沙坝田水库</w:t>
      </w:r>
      <w:r>
        <w:rPr>
          <w:rFonts w:hint="default" w:ascii="Times New Roman" w:hAnsi="Times New Roman" w:eastAsia="仿宋_GB2312" w:cs="Times New Roman"/>
          <w:sz w:val="32"/>
          <w:szCs w:val="32"/>
          <w:lang w:val="zh-CN"/>
        </w:rPr>
        <w:t>2025年度工程设施维修养护项目</w:t>
      </w:r>
      <w:r>
        <w:rPr>
          <w:rFonts w:hint="default" w:ascii="Times New Roman" w:hAnsi="Times New Roman" w:eastAsia="仿宋_GB2312" w:cs="Times New Roman"/>
          <w:sz w:val="32"/>
          <w:szCs w:val="32"/>
        </w:rPr>
        <w:t>已完成所有工程内容建设，该工程已经通过竣工验收。</w:t>
      </w:r>
    </w:p>
    <w:p w14:paraId="50265ABF">
      <w:pPr>
        <w:keepNext w:val="0"/>
        <w:keepLines w:val="0"/>
        <w:pageBreakBefore w:val="0"/>
        <w:widowControl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楷体_GB2312" w:cs="Times New Roman"/>
          <w:kern w:val="0"/>
          <w:sz w:val="32"/>
          <w:szCs w:val="32"/>
          <w:lang w:val="zh-CN"/>
        </w:rPr>
      </w:pPr>
      <w:r>
        <w:rPr>
          <w:rFonts w:hint="default" w:ascii="Times New Roman" w:hAnsi="Times New Roman" w:eastAsia="楷体_GB2312" w:cs="Times New Roman"/>
          <w:kern w:val="0"/>
          <w:sz w:val="32"/>
          <w:szCs w:val="32"/>
          <w:lang w:val="zh-CN"/>
        </w:rPr>
        <w:t>（</w:t>
      </w:r>
      <w:r>
        <w:rPr>
          <w:rFonts w:hint="default" w:ascii="Times New Roman" w:hAnsi="Times New Roman" w:eastAsia="楷体_GB2312" w:cs="Times New Roman"/>
          <w:kern w:val="0"/>
          <w:sz w:val="32"/>
          <w:szCs w:val="32"/>
        </w:rPr>
        <w:t>二</w:t>
      </w:r>
      <w:r>
        <w:rPr>
          <w:rFonts w:hint="default" w:ascii="Times New Roman" w:hAnsi="Times New Roman" w:eastAsia="楷体_GB2312" w:cs="Times New Roman"/>
          <w:kern w:val="0"/>
          <w:sz w:val="32"/>
          <w:szCs w:val="32"/>
          <w:lang w:val="zh-CN"/>
        </w:rPr>
        <w:t>）项目效益情况。</w:t>
      </w:r>
    </w:p>
    <w:p w14:paraId="24F3054A">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1．经济效益。2025年沙坝田水库共蓄水约1</w:t>
      </w:r>
      <w:r>
        <w:rPr>
          <w:rFonts w:hint="default"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00万m</w:t>
      </w:r>
      <w:r>
        <w:rPr>
          <w:rFonts w:hint="default" w:ascii="Times New Roman" w:hAnsi="Times New Roman" w:eastAsia="仿宋_GB2312" w:cs="Times New Roman"/>
          <w:kern w:val="0"/>
          <w:sz w:val="32"/>
          <w:szCs w:val="32"/>
          <w:vertAlign w:val="superscript"/>
        </w:rPr>
        <w:t>3</w:t>
      </w:r>
      <w:r>
        <w:rPr>
          <w:rFonts w:hint="default" w:ascii="Times New Roman" w:hAnsi="Times New Roman" w:eastAsia="仿宋_GB2312" w:cs="Times New Roman"/>
          <w:kern w:val="0"/>
          <w:sz w:val="32"/>
          <w:szCs w:val="32"/>
        </w:rPr>
        <w:t>，向胜利水库转供水</w:t>
      </w:r>
      <w:r>
        <w:rPr>
          <w:rFonts w:hint="default" w:ascii="Times New Roman" w:hAnsi="Times New Roman" w:eastAsia="仿宋_GB2312" w:cs="Times New Roman"/>
          <w:kern w:val="0"/>
          <w:sz w:val="32"/>
          <w:szCs w:val="32"/>
          <w:lang w:val="en-US" w:eastAsia="zh-CN"/>
        </w:rPr>
        <w:t>11</w:t>
      </w:r>
      <w:r>
        <w:rPr>
          <w:rFonts w:hint="default" w:ascii="Times New Roman" w:hAnsi="Times New Roman" w:eastAsia="仿宋_GB2312" w:cs="Times New Roman"/>
          <w:kern w:val="0"/>
          <w:sz w:val="32"/>
          <w:szCs w:val="32"/>
        </w:rPr>
        <w:t>00万m</w:t>
      </w:r>
      <w:r>
        <w:rPr>
          <w:rFonts w:hint="default" w:ascii="Times New Roman" w:hAnsi="Times New Roman" w:eastAsia="仿宋_GB2312" w:cs="Times New Roman"/>
          <w:kern w:val="0"/>
          <w:sz w:val="32"/>
          <w:szCs w:val="32"/>
          <w:vertAlign w:val="superscript"/>
        </w:rPr>
        <w:t>3</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向啊喇乡提供农业灌溉用水约120万m</w:t>
      </w:r>
      <w:r>
        <w:rPr>
          <w:rFonts w:hint="default" w:ascii="Times New Roman" w:hAnsi="Times New Roman" w:eastAsia="仿宋_GB2312" w:cs="Times New Roman"/>
          <w:sz w:val="32"/>
          <w:szCs w:val="32"/>
          <w:vertAlign w:val="superscript"/>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产生经济价值约100万元。</w:t>
      </w:r>
    </w:p>
    <w:p w14:paraId="2D87C41F">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2．社会效益。确保水库水利工程安全、保护饮用水源、提高水质、保证下泄生态流量、促进社会稳定。</w:t>
      </w:r>
    </w:p>
    <w:p w14:paraId="72525AED">
      <w:pPr>
        <w:keepNext w:val="0"/>
        <w:keepLines w:val="0"/>
        <w:pageBreakBefore w:val="0"/>
        <w:widowControl w:val="0"/>
        <w:kinsoku/>
        <w:wordWrap/>
        <w:overflowPunct/>
        <w:topLinePunct w:val="0"/>
        <w:bidi w:val="0"/>
        <w:spacing w:line="560" w:lineRule="exact"/>
        <w:ind w:firstLine="645"/>
        <w:jc w:val="left"/>
        <w:textAlignment w:val="auto"/>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kern w:val="0"/>
          <w:sz w:val="32"/>
          <w:szCs w:val="32"/>
        </w:rPr>
        <w:t>3．生态效益。</w:t>
      </w:r>
      <w:r>
        <w:rPr>
          <w:rFonts w:hint="default" w:ascii="Times New Roman" w:hAnsi="Times New Roman" w:eastAsia="仿宋_GB2312" w:cs="Times New Roman"/>
          <w:sz w:val="32"/>
          <w:szCs w:val="32"/>
          <w:shd w:val="clear" w:color="auto" w:fill="FFFFFF"/>
        </w:rPr>
        <w:t>保障了水库下游河流生态流量及村、社森林防灭火需水。</w:t>
      </w:r>
    </w:p>
    <w:p w14:paraId="047D0DA3">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4．可持续效益。通过项目实施，保障了工程运行安全和人民生命财产安全、促进水资源的可持续利用和保护生态环境等方面发挥了重要作用。</w:t>
      </w:r>
    </w:p>
    <w:p w14:paraId="7A7EE2DF">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5．服务对象满意度。根据对灌区群众的调查，满意度95%以上。</w:t>
      </w:r>
    </w:p>
    <w:p w14:paraId="0CD545A7">
      <w:pPr>
        <w:keepNext w:val="0"/>
        <w:keepLines w:val="0"/>
        <w:pageBreakBefore w:val="0"/>
        <w:widowControl w:val="0"/>
        <w:kinsoku/>
        <w:wordWrap/>
        <w:overflowPunct/>
        <w:topLinePunct w:val="0"/>
        <w:bidi w:val="0"/>
        <w:adjustRightInd w:val="0"/>
        <w:snapToGrid w:val="0"/>
        <w:spacing w:line="56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五、评价结论及建议</w:t>
      </w:r>
    </w:p>
    <w:p w14:paraId="1CC457EA">
      <w:pPr>
        <w:keepNext w:val="0"/>
        <w:keepLines w:val="0"/>
        <w:pageBreakBefore w:val="0"/>
        <w:widowControl w:val="0"/>
        <w:kinsoku/>
        <w:wordWrap/>
        <w:overflowPunct/>
        <w:topLinePunct w:val="0"/>
        <w:bidi w:val="0"/>
        <w:adjustRightInd w:val="0"/>
        <w:snapToGrid w:val="0"/>
        <w:spacing w:line="560" w:lineRule="exact"/>
        <w:ind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（一）评价结论</w:t>
      </w:r>
    </w:p>
    <w:p w14:paraId="156B0263">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通过项目实施，保障了工程运行安全和人民生命财产安全、在促进水资源的可持续利用和保护生态环境等方面发挥了重要作用。根据对灌区群众的调查，满意度95%以上。</w:t>
      </w:r>
    </w:p>
    <w:p w14:paraId="467A33DA">
      <w:pPr>
        <w:keepNext w:val="0"/>
        <w:keepLines w:val="0"/>
        <w:pageBreakBefore w:val="0"/>
        <w:widowControl w:val="0"/>
        <w:kinsoku/>
        <w:wordWrap/>
        <w:overflowPunct/>
        <w:topLinePunct w:val="0"/>
        <w:autoSpaceDE w:val="0"/>
        <w:autoSpaceDN w:val="0"/>
        <w:bidi w:val="0"/>
        <w:adjustRightInd w:val="0"/>
        <w:spacing w:line="560" w:lineRule="exact"/>
        <w:ind w:left="210" w:leftChars="100" w:firstLine="320" w:firstLineChars="100"/>
        <w:jc w:val="left"/>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（二）存在的问题</w:t>
      </w:r>
    </w:p>
    <w:p w14:paraId="22A0DCA7">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rPr>
        <w:t>无</w:t>
      </w:r>
      <w:r>
        <w:rPr>
          <w:rFonts w:hint="eastAsia" w:eastAsia="仿宋_GB2312" w:cs="Times New Roman"/>
          <w:kern w:val="0"/>
          <w:sz w:val="32"/>
          <w:szCs w:val="32"/>
          <w:lang w:eastAsia="zh-CN"/>
        </w:rPr>
        <w:t>。</w:t>
      </w:r>
    </w:p>
    <w:p w14:paraId="633AA4AE">
      <w:pPr>
        <w:keepNext w:val="0"/>
        <w:keepLines w:val="0"/>
        <w:pageBreakBefore w:val="0"/>
        <w:widowControl w:val="0"/>
        <w:kinsoku/>
        <w:wordWrap/>
        <w:overflowPunct/>
        <w:topLinePunct w:val="0"/>
        <w:autoSpaceDE w:val="0"/>
        <w:autoSpaceDN w:val="0"/>
        <w:bidi w:val="0"/>
        <w:adjustRightInd w:val="0"/>
        <w:spacing w:line="560" w:lineRule="exact"/>
        <w:ind w:left="210" w:leftChars="100" w:firstLine="320" w:firstLineChars="100"/>
        <w:jc w:val="left"/>
        <w:textAlignment w:val="auto"/>
        <w:rPr>
          <w:rFonts w:hint="default" w:ascii="Times New Roman" w:hAnsi="Times New Roman" w:eastAsia="楷体_GB2312" w:cs="Times New Roman"/>
          <w:kern w:val="0"/>
          <w:sz w:val="32"/>
          <w:szCs w:val="32"/>
        </w:rPr>
      </w:pPr>
      <w:r>
        <w:rPr>
          <w:rFonts w:hint="default" w:ascii="Times New Roman" w:hAnsi="Times New Roman" w:eastAsia="楷体_GB2312" w:cs="Times New Roman"/>
          <w:kern w:val="0"/>
          <w:sz w:val="32"/>
          <w:szCs w:val="32"/>
        </w:rPr>
        <w:t>（三）</w:t>
      </w:r>
      <w:r>
        <w:rPr>
          <w:rFonts w:hint="default" w:ascii="Times New Roman" w:hAnsi="Times New Roman" w:eastAsia="楷体_GB2312" w:cs="Times New Roman"/>
          <w:kern w:val="0"/>
          <w:sz w:val="32"/>
          <w:szCs w:val="32"/>
          <w:lang w:val="zh-CN"/>
        </w:rPr>
        <w:t>相关建议</w:t>
      </w:r>
    </w:p>
    <w:p w14:paraId="0748ECCE">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下一步我中心将加强项目预算绩效目标制定的精细化程度，尽可能减少实际金额与预算金额的偏差。</w:t>
      </w:r>
    </w:p>
    <w:p w14:paraId="132FB51A">
      <w:pPr>
        <w:keepNext w:val="0"/>
        <w:keepLines w:val="0"/>
        <w:pageBreakBefore w:val="0"/>
        <w:widowControl w:val="0"/>
        <w:kinsoku/>
        <w:wordWrap/>
        <w:overflowPunct/>
        <w:topLinePunct w:val="0"/>
        <w:bidi w:val="0"/>
        <w:spacing w:line="560" w:lineRule="exact"/>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br w:type="page"/>
      </w:r>
    </w:p>
    <w:p w14:paraId="77413CF1">
      <w:pPr>
        <w:widowControl w:val="0"/>
        <w:spacing w:line="560" w:lineRule="exact"/>
        <w:jc w:val="center"/>
        <w:rPr>
          <w:rFonts w:hint="default" w:ascii="Times New Roman" w:hAnsi="Times New Roman" w:eastAsia="方正小标宋简体" w:cs="Times New Roman"/>
          <w:color w:val="000000"/>
          <w:kern w:val="0"/>
          <w:sz w:val="44"/>
          <w:szCs w:val="44"/>
          <w:lang w:val="zh-CN" w:eastAsia="zh-CN" w:bidi="ar-SA"/>
        </w:rPr>
      </w:pPr>
      <w:r>
        <w:rPr>
          <w:rFonts w:hint="default" w:ascii="Times New Roman" w:hAnsi="Times New Roman" w:eastAsia="方正小标宋_GBK" w:cs="Times New Roman"/>
          <w:color w:val="000000"/>
          <w:kern w:val="2"/>
          <w:sz w:val="44"/>
          <w:szCs w:val="44"/>
          <w:lang w:val="en-US" w:eastAsia="zh-CN" w:bidi="ar-SA"/>
        </w:rPr>
        <w:t>专项</w:t>
      </w:r>
      <w:r>
        <w:rPr>
          <w:rFonts w:hint="eastAsia" w:ascii="Times New Roman" w:hAnsi="Times New Roman" w:eastAsia="方正小标宋_GBK" w:cs="Times New Roman"/>
          <w:color w:val="000000"/>
          <w:kern w:val="2"/>
          <w:sz w:val="44"/>
          <w:szCs w:val="44"/>
          <w:lang w:val="en-US" w:eastAsia="zh-CN" w:bidi="ar-SA"/>
        </w:rPr>
        <w:t>预算</w:t>
      </w:r>
      <w:r>
        <w:rPr>
          <w:rFonts w:hint="default" w:ascii="Times New Roman" w:hAnsi="Times New Roman" w:eastAsia="方正小标宋_GBK" w:cs="Times New Roman"/>
          <w:color w:val="000000"/>
          <w:kern w:val="2"/>
          <w:sz w:val="44"/>
          <w:szCs w:val="44"/>
          <w:lang w:val="en-US" w:eastAsia="zh-CN" w:bidi="ar-SA"/>
        </w:rPr>
        <w:t>项目</w:t>
      </w:r>
      <w:r>
        <w:rPr>
          <w:rFonts w:hint="eastAsia" w:ascii="Times New Roman" w:hAnsi="Times New Roman" w:eastAsia="方正小标宋_GBK" w:cs="Times New Roman"/>
          <w:color w:val="000000"/>
          <w:kern w:val="2"/>
          <w:sz w:val="44"/>
          <w:szCs w:val="44"/>
          <w:lang w:val="en-US" w:eastAsia="zh-CN" w:bidi="ar-SA"/>
        </w:rPr>
        <w:t>支出</w:t>
      </w:r>
      <w:r>
        <w:rPr>
          <w:rFonts w:hint="default" w:ascii="Times New Roman" w:hAnsi="Times New Roman" w:eastAsia="方正小标宋_GBK" w:cs="Times New Roman"/>
          <w:color w:val="000000"/>
          <w:kern w:val="2"/>
          <w:sz w:val="44"/>
          <w:szCs w:val="44"/>
          <w:lang w:val="en-US" w:eastAsia="zh-CN" w:bidi="ar-SA"/>
        </w:rPr>
        <w:t>绩效自评报告</w:t>
      </w:r>
    </w:p>
    <w:p w14:paraId="3997392F">
      <w:pPr>
        <w:adjustRightInd w:val="0"/>
        <w:snapToGrid w:val="0"/>
        <w:spacing w:line="56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（胜利水库除险加固项目）</w:t>
      </w:r>
    </w:p>
    <w:p w14:paraId="30BEE3ED">
      <w:pPr>
        <w:widowControl w:val="0"/>
        <w:spacing w:line="600" w:lineRule="exact"/>
        <w:ind w:firstLine="640"/>
        <w:jc w:val="center"/>
        <w:rPr>
          <w:rFonts w:ascii="Times New Roman" w:hAnsi="Times New Roman" w:eastAsia="宋体" w:cs="Times New Roman"/>
          <w:color w:val="auto"/>
          <w:kern w:val="2"/>
          <w:sz w:val="32"/>
          <w:szCs w:val="32"/>
          <w:lang w:val="zh-CN" w:eastAsia="zh-CN" w:bidi="ar-SA"/>
        </w:rPr>
      </w:pPr>
    </w:p>
    <w:p w14:paraId="578F215E">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14:paraId="0862229D">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（一）项目基本情况。</w:t>
      </w:r>
    </w:p>
    <w:p w14:paraId="773CD6BB">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1．说明项目主管部门（单位）在该项目管理中的职能。</w:t>
      </w:r>
    </w:p>
    <w:p w14:paraId="57AF967D">
      <w:pPr>
        <w:keepNext w:val="0"/>
        <w:keepLines w:val="0"/>
        <w:widowControl/>
        <w:suppressLineNumbers w:val="0"/>
        <w:ind w:firstLine="640" w:firstLineChars="200"/>
        <w:jc w:val="left"/>
        <w:rPr>
          <w:rFonts w:ascii="Times New Roman" w:hAnsi="Times New Roman" w:eastAsia="仿宋_GB2312" w:cs="Times New Roman"/>
          <w:color w:val="auto"/>
          <w:sz w:val="32"/>
          <w:szCs w:val="32"/>
          <w:lang w:val="zh-CN"/>
        </w:rPr>
      </w:pPr>
      <w:r>
        <w:rPr>
          <w:rFonts w:hint="eastAsia" w:ascii="Times New Roman" w:hAnsi="Times New Roman" w:eastAsia="仿宋_GB2312" w:cs="Times New Roman"/>
          <w:color w:val="auto"/>
          <w:sz w:val="32"/>
          <w:szCs w:val="32"/>
          <w:lang w:val="en-US" w:eastAsia="zh-CN"/>
        </w:rPr>
        <w:t>市水利局在该项目中主要履行以下职能：一是</w:t>
      </w:r>
      <w:r>
        <w:rPr>
          <w:rFonts w:hint="default" w:ascii="Times New Roman" w:hAnsi="Times New Roman" w:eastAsia="仿宋_GB2312" w:cs="Times New Roman"/>
          <w:color w:val="auto"/>
          <w:sz w:val="32"/>
          <w:szCs w:val="32"/>
          <w:lang w:val="en-US" w:eastAsia="zh-CN"/>
        </w:rPr>
        <w:t>统筹规划与审批，负责项目初步设计方案的</w:t>
      </w:r>
      <w:r>
        <w:rPr>
          <w:rFonts w:hint="eastAsia" w:ascii="Times New Roman" w:hAnsi="Times New Roman" w:eastAsia="仿宋_GB2312" w:cs="Times New Roman"/>
          <w:color w:val="auto"/>
          <w:sz w:val="32"/>
          <w:szCs w:val="32"/>
          <w:lang w:val="en-US" w:eastAsia="zh-CN"/>
        </w:rPr>
        <w:t>报审</w:t>
      </w:r>
      <w:r>
        <w:rPr>
          <w:rFonts w:hint="default" w:ascii="Times New Roman" w:hAnsi="Times New Roman" w:eastAsia="仿宋_GB2312" w:cs="Times New Roman"/>
          <w:color w:val="auto"/>
          <w:sz w:val="32"/>
          <w:szCs w:val="32"/>
          <w:lang w:val="en-US" w:eastAsia="zh-CN"/>
        </w:rPr>
        <w:t>与投资计划的</w:t>
      </w:r>
      <w:r>
        <w:rPr>
          <w:rFonts w:hint="eastAsia" w:ascii="Times New Roman" w:hAnsi="Times New Roman" w:eastAsia="仿宋_GB2312" w:cs="Times New Roman"/>
          <w:color w:val="auto"/>
          <w:sz w:val="32"/>
          <w:szCs w:val="32"/>
          <w:lang w:val="en-US" w:eastAsia="zh-CN"/>
        </w:rPr>
        <w:t>申报</w:t>
      </w:r>
      <w:r>
        <w:rPr>
          <w:rFonts w:hint="default" w:ascii="Times New Roman" w:hAnsi="Times New Roman" w:eastAsia="仿宋_GB2312" w:cs="Times New Roman"/>
          <w:color w:val="auto"/>
          <w:sz w:val="32"/>
          <w:szCs w:val="32"/>
          <w:lang w:val="en-US" w:eastAsia="zh-CN"/>
        </w:rPr>
        <w:t>；二</w:t>
      </w:r>
      <w:r>
        <w:rPr>
          <w:rFonts w:hint="eastAsia" w:eastAsia="仿宋_GB2312" w:cs="Times New Roman"/>
          <w:color w:val="auto"/>
          <w:sz w:val="32"/>
          <w:szCs w:val="32"/>
          <w:lang w:val="en-US" w:eastAsia="zh-CN"/>
        </w:rPr>
        <w:t>是</w:t>
      </w:r>
      <w:r>
        <w:rPr>
          <w:rFonts w:hint="default" w:ascii="Times New Roman" w:hAnsi="Times New Roman" w:eastAsia="仿宋_GB2312" w:cs="Times New Roman"/>
          <w:color w:val="auto"/>
          <w:sz w:val="32"/>
          <w:szCs w:val="32"/>
          <w:lang w:val="en-US" w:eastAsia="zh-CN"/>
        </w:rPr>
        <w:t>对工程质量</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安全、进度、</w:t>
      </w:r>
      <w:r>
        <w:rPr>
          <w:rFonts w:hint="eastAsia" w:ascii="Times New Roman" w:hAnsi="Times New Roman" w:eastAsia="仿宋_GB2312" w:cs="Times New Roman"/>
          <w:color w:val="auto"/>
          <w:sz w:val="32"/>
          <w:szCs w:val="32"/>
          <w:lang w:val="en-US" w:eastAsia="zh-CN"/>
        </w:rPr>
        <w:t>投资</w:t>
      </w:r>
      <w:r>
        <w:rPr>
          <w:rFonts w:hint="default" w:ascii="Times New Roman" w:hAnsi="Times New Roman" w:eastAsia="仿宋_GB2312" w:cs="Times New Roman"/>
          <w:color w:val="auto"/>
          <w:sz w:val="32"/>
          <w:szCs w:val="32"/>
          <w:lang w:val="en-US" w:eastAsia="zh-CN"/>
        </w:rPr>
        <w:t>进行</w:t>
      </w:r>
      <w:r>
        <w:rPr>
          <w:rFonts w:hint="eastAsia" w:ascii="Times New Roman" w:hAnsi="Times New Roman" w:eastAsia="仿宋_GB2312" w:cs="Times New Roman"/>
          <w:color w:val="auto"/>
          <w:sz w:val="32"/>
          <w:szCs w:val="32"/>
          <w:lang w:val="en-US" w:eastAsia="zh-CN"/>
        </w:rPr>
        <w:t>全程</w:t>
      </w:r>
      <w:r>
        <w:rPr>
          <w:rFonts w:hint="default" w:ascii="Times New Roman" w:hAnsi="Times New Roman" w:eastAsia="仿宋_GB2312" w:cs="Times New Roman"/>
          <w:color w:val="auto"/>
          <w:sz w:val="32"/>
          <w:szCs w:val="32"/>
          <w:lang w:val="en-US" w:eastAsia="zh-CN"/>
        </w:rPr>
        <w:t>监督，确保项目合规推进；三是验收与移交督导，组织项目</w:t>
      </w:r>
      <w:r>
        <w:rPr>
          <w:rFonts w:hint="eastAsia" w:ascii="Times New Roman" w:hAnsi="Times New Roman" w:eastAsia="仿宋_GB2312" w:cs="Times New Roman"/>
          <w:color w:val="auto"/>
          <w:sz w:val="32"/>
          <w:szCs w:val="32"/>
          <w:lang w:val="en-US" w:eastAsia="zh-CN"/>
        </w:rPr>
        <w:t>下闸蓄水验收、水保专项验收、档案验收、竣工</w:t>
      </w:r>
      <w:r>
        <w:rPr>
          <w:rFonts w:hint="default" w:ascii="Times New Roman" w:hAnsi="Times New Roman" w:eastAsia="仿宋_GB2312" w:cs="Times New Roman"/>
          <w:color w:val="auto"/>
          <w:sz w:val="32"/>
          <w:szCs w:val="32"/>
          <w:lang w:val="en-US" w:eastAsia="zh-CN"/>
        </w:rPr>
        <w:t>验收，监督资产移交及后期运行管护责任的落实</w:t>
      </w:r>
      <w:r>
        <w:rPr>
          <w:rFonts w:hint="eastAsia" w:eastAsia="仿宋_GB2312" w:cs="Times New Roman"/>
          <w:color w:val="auto"/>
          <w:sz w:val="32"/>
          <w:szCs w:val="32"/>
          <w:lang w:val="en-US" w:eastAsia="zh-CN"/>
        </w:rPr>
        <w:t>。</w:t>
      </w:r>
    </w:p>
    <w:p w14:paraId="1F9C79A5">
      <w:pPr>
        <w:keepNext w:val="0"/>
        <w:keepLines w:val="0"/>
        <w:pageBreakBefore w:val="0"/>
        <w:numPr>
          <w:ilvl w:val="0"/>
          <w:numId w:val="6"/>
        </w:numPr>
        <w:kinsoku/>
        <w:wordWrap/>
        <w:overflowPunct/>
        <w:topLinePunct w:val="0"/>
        <w:bidi w:val="0"/>
        <w:adjustRightInd w:val="0"/>
        <w:snapToGrid w:val="0"/>
        <w:spacing w:line="560" w:lineRule="exact"/>
        <w:ind w:firstLine="720"/>
        <w:jc w:val="left"/>
        <w:textAlignment w:val="auto"/>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项目立项、资金申报的依据。</w:t>
      </w:r>
    </w:p>
    <w:p w14:paraId="04DC15DC">
      <w:pPr>
        <w:keepNext w:val="0"/>
        <w:keepLines w:val="0"/>
        <w:pageBreakBefore w:val="0"/>
        <w:kinsoku/>
        <w:wordWrap/>
        <w:overflowPunct/>
        <w:topLinePunct w:val="0"/>
        <w:bidi w:val="0"/>
        <w:spacing w:line="560" w:lineRule="exact"/>
        <w:ind w:firstLine="640" w:firstLineChars="200"/>
        <w:jc w:val="left"/>
        <w:textAlignment w:val="auto"/>
        <w:rPr>
          <w:rFonts w:ascii="Times New Roman" w:hAnsi="Times New Roman" w:eastAsia="仿宋_GB2312" w:cs="Times New Roman"/>
          <w:color w:val="000000"/>
          <w:sz w:val="32"/>
          <w:szCs w:val="32"/>
        </w:rPr>
      </w:pPr>
      <w:r>
        <w:rPr>
          <w:rFonts w:hint="eastAsia" w:ascii="仿宋_GB2312" w:hAnsi="Times New Roman" w:eastAsia="仿宋_GB2312" w:cs="Times New Roman"/>
          <w:sz w:val="32"/>
          <w:szCs w:val="32"/>
        </w:rPr>
        <w:t>2019年4月攀枝花市胜利水利工程运行中心委托“南京水利科学研究院”承担大坝安全评价工作。2020年12月省水利厅印发了《</w:t>
      </w:r>
      <w:r>
        <w:rPr>
          <w:rFonts w:ascii="仿宋_GB2312" w:hAnsi="Times New Roman" w:eastAsia="仿宋_GB2312" w:cs="Times New Roman"/>
          <w:sz w:val="32"/>
          <w:szCs w:val="32"/>
        </w:rPr>
        <w:t>四川省水利厅关于</w:t>
      </w:r>
      <w:r>
        <w:rPr>
          <w:rFonts w:hint="eastAsia" w:ascii="仿宋_GB2312" w:hAnsi="Times New Roman" w:eastAsia="仿宋_GB2312" w:cs="Times New Roman"/>
          <w:sz w:val="32"/>
          <w:szCs w:val="32"/>
        </w:rPr>
        <w:t>印发</w:t>
      </w:r>
      <w:r>
        <w:rPr>
          <w:rFonts w:ascii="仿宋_GB2312" w:hAnsi="Times New Roman" w:eastAsia="仿宋_GB2312" w:cs="Times New Roman"/>
          <w:sz w:val="32"/>
          <w:szCs w:val="32"/>
        </w:rPr>
        <w:t>晃桥水库、胜利水库、 高堰沟水库、跃进水库大坝安全鉴定报告书的通知</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川水函〔</w:t>
      </w:r>
      <w:r>
        <w:rPr>
          <w:rFonts w:hint="eastAsia" w:ascii="仿宋_GB2312" w:hAnsi="Times New Roman" w:eastAsia="仿宋_GB2312" w:cs="Times New Roman"/>
          <w:sz w:val="32"/>
          <w:szCs w:val="32"/>
        </w:rPr>
        <w:t>2020</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1806号）鉴定胜利水库为“三类坝”。2021年5月，水利部大坝安全管理中心对胜利水库大坝安全鉴定成果进行核查，核查结论为“三类坝”</w:t>
      </w:r>
      <w:r>
        <w:rPr>
          <w:rFonts w:hint="eastAsia" w:ascii="仿宋_GB2312" w:hAnsi="Times New Roman" w:eastAsia="仿宋_GB2312" w:cs="Times New Roman"/>
          <w:sz w:val="32"/>
          <w:szCs w:val="32"/>
          <w:lang w:eastAsia="zh-CN"/>
        </w:rPr>
        <w:t>，属于病险水库，存在安全隐患。</w:t>
      </w:r>
      <w:r>
        <w:rPr>
          <w:rFonts w:ascii="Times New Roman" w:hAnsi="Times New Roman" w:eastAsia="仿宋_GB2312" w:cs="Times New Roman"/>
          <w:color w:val="000000"/>
          <w:sz w:val="32"/>
          <w:szCs w:val="32"/>
        </w:rPr>
        <w:t>2024年1月3日，四川省水利厅印发《攀枝花市胜利水库除险加固项目初步设计报告技术审查意见的通知》（川水函〔2024〕113号）同意初步设计报告编制内容。</w:t>
      </w:r>
    </w:p>
    <w:p w14:paraId="4781D696">
      <w:pPr>
        <w:ind w:firstLine="640" w:firstLineChars="200"/>
        <w:rPr>
          <w:rFonts w:hint="eastAsia" w:ascii="Times New Roman" w:hAnsi="Times New Roman" w:eastAsia="仿宋_GB2312" w:cs="Times New Roman"/>
          <w:color w:val="000000"/>
          <w:sz w:val="32"/>
          <w:szCs w:val="32"/>
          <w:lang w:val="zh-CN" w:eastAsia="zh-CN"/>
        </w:rPr>
      </w:pPr>
      <w:r>
        <w:rPr>
          <w:rFonts w:hint="eastAsia" w:ascii="仿宋_GB2312" w:hAnsi="Times New Roman" w:eastAsia="仿宋_GB2312" w:cs="Times New Roman"/>
          <w:sz w:val="32"/>
          <w:szCs w:val="32"/>
        </w:rPr>
        <w:t>2023年底，</w:t>
      </w:r>
      <w:r>
        <w:rPr>
          <w:rFonts w:hint="eastAsia" w:ascii="仿宋_GB2312" w:hAnsi="Times New Roman" w:eastAsia="仿宋_GB2312" w:cs="Times New Roman"/>
          <w:sz w:val="32"/>
          <w:szCs w:val="32"/>
          <w:lang w:val="en-US" w:eastAsia="zh-CN"/>
        </w:rPr>
        <w:t>在市水利局悉心指导下，胜利</w:t>
      </w:r>
      <w:r>
        <w:rPr>
          <w:rFonts w:hint="eastAsia" w:ascii="仿宋_GB2312" w:hAnsi="Times New Roman" w:eastAsia="仿宋_GB2312" w:cs="Times New Roman"/>
          <w:sz w:val="32"/>
          <w:szCs w:val="32"/>
        </w:rPr>
        <w:t>中心抢抓万亿国债政策机遇，加紧</w:t>
      </w:r>
      <w:r>
        <w:rPr>
          <w:rFonts w:hint="eastAsia" w:ascii="仿宋_GB2312" w:hAnsi="Times New Roman" w:eastAsia="仿宋_GB2312" w:cs="Times New Roman"/>
          <w:sz w:val="32"/>
          <w:szCs w:val="32"/>
          <w:lang w:val="en-US" w:eastAsia="zh-CN"/>
        </w:rPr>
        <w:t>胜利水库除险加固</w:t>
      </w:r>
      <w:r>
        <w:rPr>
          <w:rFonts w:hint="eastAsia" w:ascii="仿宋_GB2312" w:hAnsi="Times New Roman" w:eastAsia="仿宋_GB2312" w:cs="Times New Roman"/>
          <w:sz w:val="32"/>
          <w:szCs w:val="32"/>
        </w:rPr>
        <w:t>项目包装申报，加快完善报批要件，项目获批总投资7945万元，下达国债资金6300万元</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2025年下达地方配套资金1645.43万元</w:t>
      </w:r>
      <w:r>
        <w:rPr>
          <w:rFonts w:hint="eastAsia" w:ascii="仿宋_GB2312" w:hAnsi="Times New Roman" w:eastAsia="仿宋_GB2312" w:cs="Times New Roman"/>
          <w:sz w:val="32"/>
          <w:szCs w:val="32"/>
        </w:rPr>
        <w:t>。</w:t>
      </w:r>
    </w:p>
    <w:p w14:paraId="26A02ECA">
      <w:pPr>
        <w:keepNext w:val="0"/>
        <w:keepLines w:val="0"/>
        <w:pageBreakBefore w:val="0"/>
        <w:numPr>
          <w:ilvl w:val="0"/>
          <w:numId w:val="6"/>
        </w:numPr>
        <w:kinsoku/>
        <w:wordWrap/>
        <w:overflowPunct/>
        <w:topLinePunct w:val="0"/>
        <w:bidi w:val="0"/>
        <w:adjustRightInd w:val="0"/>
        <w:snapToGrid w:val="0"/>
        <w:spacing w:line="560" w:lineRule="exact"/>
        <w:ind w:left="0" w:leftChars="0" w:firstLine="720" w:firstLineChars="0"/>
        <w:jc w:val="left"/>
        <w:textAlignment w:val="auto"/>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资金管理办法制定情况，资金支持具体项目的条件、范围与支持方式概况。</w:t>
      </w:r>
    </w:p>
    <w:p w14:paraId="7AB52CF0">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ascii="仿宋_GB2312" w:hAnsi="Times New Roman" w:eastAsia="仿宋_GB2312" w:cs="Times New Roman"/>
          <w:sz w:val="32"/>
          <w:szCs w:val="32"/>
          <w:lang w:val="en-US" w:bidi="ar-SA"/>
        </w:rPr>
      </w:pPr>
      <w:r>
        <w:rPr>
          <w:rFonts w:ascii="Times New Roman" w:hAnsi="Times New Roman" w:eastAsia="仿宋_GB2312" w:cs="Times New Roman"/>
          <w:color w:val="000000"/>
          <w:sz w:val="32"/>
          <w:szCs w:val="32"/>
        </w:rPr>
        <w:t>2024年1月12日，印发了</w:t>
      </w:r>
      <w:bookmarkStart w:id="55" w:name="OLE_LINK18"/>
      <w:bookmarkStart w:id="56" w:name="OLE_LINK20"/>
      <w:bookmarkStart w:id="57" w:name="OLE_LINK19"/>
      <w:r>
        <w:rPr>
          <w:rFonts w:ascii="Times New Roman" w:hAnsi="Times New Roman" w:eastAsia="仿宋_GB2312" w:cs="Times New Roman"/>
          <w:color w:val="000000"/>
          <w:sz w:val="32"/>
          <w:szCs w:val="32"/>
        </w:rPr>
        <w:t>《攀枝花市胜利水利工程运行中心关于成立攀枝花市胜利水库除险加固项目领导小组及工作专班的通知》</w:t>
      </w:r>
      <w:bookmarkEnd w:id="55"/>
      <w:bookmarkEnd w:id="56"/>
      <w:bookmarkEnd w:id="57"/>
      <w:r>
        <w:rPr>
          <w:rFonts w:ascii="Times New Roman" w:hAnsi="Times New Roman" w:eastAsia="仿宋_GB2312" w:cs="Times New Roman"/>
          <w:color w:val="000000"/>
          <w:sz w:val="32"/>
          <w:szCs w:val="32"/>
        </w:rPr>
        <w:t>（攀水胜运）</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202</w:t>
      </w:r>
      <w:r>
        <w:rPr>
          <w:rFonts w:hint="eastAsia" w:ascii="仿宋_GB2312" w:eastAsia="仿宋_GB2312" w:cs="Times New Roman"/>
          <w:sz w:val="32"/>
          <w:szCs w:val="32"/>
          <w:lang w:val="en-US" w:eastAsia="zh-CN"/>
        </w:rPr>
        <w:t>4</w:t>
      </w:r>
      <w:r>
        <w:rPr>
          <w:rFonts w:ascii="仿宋_GB2312" w:hAnsi="Times New Roman" w:eastAsia="仿宋_GB2312" w:cs="Times New Roman"/>
          <w:sz w:val="32"/>
          <w:szCs w:val="32"/>
        </w:rPr>
        <w:t>〕</w:t>
      </w:r>
      <w:r>
        <w:rPr>
          <w:rFonts w:ascii="Times New Roman" w:hAnsi="Times New Roman" w:eastAsia="仿宋_GB2312" w:cs="Times New Roman"/>
          <w:color w:val="000000"/>
          <w:sz w:val="32"/>
          <w:szCs w:val="32"/>
        </w:rPr>
        <w:t>1号文件，成立领导小组和工作专班，由景志飞同志任项目负责人，廖正科同志任技术负责人，</w:t>
      </w:r>
      <w:r>
        <w:rPr>
          <w:rFonts w:hint="eastAsia" w:ascii="Times New Roman" w:hAnsi="Times New Roman" w:eastAsia="仿宋_GB2312" w:cs="Times New Roman"/>
          <w:sz w:val="32"/>
          <w:szCs w:val="32"/>
        </w:rPr>
        <w:t>相关科室负责人任成员，专班</w:t>
      </w:r>
      <w:r>
        <w:rPr>
          <w:rFonts w:ascii="Times New Roman" w:hAnsi="Times New Roman" w:eastAsia="仿宋_GB2312" w:cs="Times New Roman"/>
          <w:color w:val="000000"/>
          <w:sz w:val="32"/>
          <w:szCs w:val="32"/>
        </w:rPr>
        <w:t>下设综合协调组、工程建设组、质量安全组、财务及后勤保障组。</w:t>
      </w:r>
      <w:r>
        <w:rPr>
          <w:rFonts w:hint="eastAsia" w:ascii="仿宋_GB2312" w:hAnsi="Times New Roman" w:eastAsia="仿宋_GB2312" w:cs="Times New Roman"/>
          <w:sz w:val="32"/>
          <w:szCs w:val="32"/>
          <w:lang w:val="en-US" w:bidi="ar-SA"/>
        </w:rPr>
        <w:t>2024年4月10日，印发了《攀枝花市胜利水库除险加固工程财务管理办法》、《攀枝花市胜利水库除险加固项目建设工程价款结算支付制度》、《攀枝花市胜利水库除险加固项目合同管理办法》等，形成有效的内部控制机制。</w:t>
      </w:r>
    </w:p>
    <w:p w14:paraId="291738A0">
      <w:pPr>
        <w:keepNext w:val="0"/>
        <w:keepLines w:val="0"/>
        <w:pageBreakBefore w:val="0"/>
        <w:widowControl w:val="0"/>
        <w:kinsoku/>
        <w:wordWrap/>
        <w:overflowPunct/>
        <w:topLinePunct w:val="0"/>
        <w:autoSpaceDE w:val="0"/>
        <w:autoSpaceDN w:val="0"/>
        <w:bidi w:val="0"/>
        <w:spacing w:line="560" w:lineRule="exact"/>
        <w:ind w:firstLine="640" w:firstLineChars="200"/>
        <w:jc w:val="left"/>
        <w:textAlignment w:val="auto"/>
        <w:rPr>
          <w:rFonts w:ascii="宋体" w:hAnsi="宋体" w:eastAsia="宋体" w:cs="宋体"/>
          <w:kern w:val="0"/>
          <w:sz w:val="21"/>
          <w:szCs w:val="21"/>
          <w:lang w:val="zh-CN" w:eastAsia="zh-CN" w:bidi="zh-CN"/>
        </w:rPr>
      </w:pPr>
      <w:r>
        <w:rPr>
          <w:rFonts w:hint="eastAsia" w:ascii="仿宋_GB2312" w:hAnsi="宋体" w:eastAsia="仿宋_GB2312" w:cs="宋体"/>
          <w:kern w:val="0"/>
          <w:sz w:val="32"/>
          <w:szCs w:val="32"/>
          <w:lang w:val="en-US" w:eastAsia="zh-CN" w:bidi="ar-SA"/>
        </w:rPr>
        <w:t>资金支付严格按照合同管理，按工作进度拨付资金，工程款支付时有监理、项目负责人、技术负责人共同签字。</w:t>
      </w:r>
      <w:r>
        <w:rPr>
          <w:rFonts w:hint="eastAsia" w:ascii="仿宋_GB2312" w:hAnsi="宋体" w:eastAsia="仿宋_GB2312" w:cs="宋体"/>
          <w:color w:val="auto"/>
          <w:kern w:val="0"/>
          <w:sz w:val="32"/>
          <w:szCs w:val="32"/>
          <w:lang w:val="en-US" w:eastAsia="zh-CN" w:bidi="ar-SA"/>
        </w:rPr>
        <w:t>该项目所有款项支付均实行经办人申请-组长签署意见-财务及后勤保障组审核-技术负责人审批-项目负责人审批，</w:t>
      </w:r>
      <w:r>
        <w:rPr>
          <w:rFonts w:hint="eastAsia" w:ascii="Times New Roman" w:hAnsi="Times New Roman" w:eastAsia="仿宋_GB2312" w:cs="Times New Roman"/>
          <w:color w:val="auto"/>
          <w:kern w:val="2"/>
          <w:sz w:val="32"/>
          <w:szCs w:val="32"/>
          <w:lang w:val="en-US" w:eastAsia="zh-CN" w:bidi="ar-SA"/>
        </w:rPr>
        <w:t>确保项目资金专款专用。不存在挤占、挪用、截留、置换、弄虚作假等问题。</w:t>
      </w:r>
    </w:p>
    <w:p w14:paraId="61E45485">
      <w:pPr>
        <w:keepNext w:val="0"/>
        <w:keepLines w:val="0"/>
        <w:pageBreakBefore w:val="0"/>
        <w:numPr>
          <w:ilvl w:val="0"/>
          <w:numId w:val="6"/>
        </w:numPr>
        <w:kinsoku/>
        <w:wordWrap/>
        <w:overflowPunct/>
        <w:topLinePunct w:val="0"/>
        <w:bidi w:val="0"/>
        <w:adjustRightInd w:val="0"/>
        <w:snapToGrid w:val="0"/>
        <w:spacing w:line="560" w:lineRule="exact"/>
        <w:ind w:left="0" w:leftChars="0" w:firstLine="720" w:firstLineChars="0"/>
        <w:jc w:val="left"/>
        <w:textAlignment w:val="auto"/>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资金分配的原则及考虑因素。</w:t>
      </w:r>
    </w:p>
    <w:p w14:paraId="49C94AF8">
      <w:pPr>
        <w:keepNext w:val="0"/>
        <w:keepLines w:val="0"/>
        <w:pageBreakBefore w:val="0"/>
        <w:widowControl w:val="0"/>
        <w:kinsoku/>
        <w:wordWrap/>
        <w:overflowPunct/>
        <w:topLinePunct w:val="0"/>
        <w:autoSpaceDE w:val="0"/>
        <w:autoSpaceDN w:val="0"/>
        <w:bidi w:val="0"/>
        <w:spacing w:line="560" w:lineRule="exact"/>
        <w:ind w:firstLine="640" w:firstLineChars="200"/>
        <w:jc w:val="left"/>
        <w:textAlignment w:val="auto"/>
        <w:rPr>
          <w:rFonts w:hint="eastAsia" w:ascii="Times New Roman" w:hAnsi="Times New Roman" w:eastAsia="仿宋_GB2312" w:cs="Times New Roman"/>
          <w:color w:val="auto"/>
          <w:kern w:val="2"/>
          <w:sz w:val="32"/>
          <w:szCs w:val="32"/>
          <w:lang w:val="zh-CN" w:eastAsia="zh-CN" w:bidi="ar-SA"/>
        </w:rPr>
      </w:pPr>
      <w:r>
        <w:rPr>
          <w:rFonts w:hint="eastAsia" w:ascii="Times New Roman" w:hAnsi="Times New Roman" w:eastAsia="仿宋_GB2312" w:cs="Times New Roman"/>
          <w:color w:val="auto"/>
          <w:kern w:val="2"/>
          <w:sz w:val="32"/>
          <w:szCs w:val="32"/>
          <w:lang w:val="en-US" w:eastAsia="zh-CN" w:bidi="ar-SA"/>
        </w:rPr>
        <w:t>胜利水库除险加固项目资金严格执行国债资金管理办法，</w:t>
      </w:r>
      <w:r>
        <w:rPr>
          <w:rFonts w:hint="default" w:ascii="Times New Roman" w:hAnsi="Times New Roman" w:eastAsia="仿宋_GB2312" w:cs="Times New Roman"/>
          <w:color w:val="auto"/>
          <w:kern w:val="2"/>
          <w:sz w:val="32"/>
          <w:szCs w:val="32"/>
          <w:lang w:val="zh-CN" w:eastAsia="zh-CN" w:bidi="ar-SA"/>
        </w:rPr>
        <w:t>按</w:t>
      </w:r>
      <w:r>
        <w:rPr>
          <w:rFonts w:hint="eastAsia" w:ascii="Times New Roman" w:hAnsi="Times New Roman" w:eastAsia="仿宋_GB2312" w:cs="Times New Roman"/>
          <w:color w:val="auto"/>
          <w:kern w:val="2"/>
          <w:sz w:val="32"/>
          <w:szCs w:val="32"/>
          <w:lang w:val="zh-CN" w:eastAsia="zh-CN" w:bidi="ar-SA"/>
        </w:rPr>
        <w:t>专款专用的</w:t>
      </w:r>
      <w:r>
        <w:rPr>
          <w:rFonts w:hint="default" w:ascii="Times New Roman" w:hAnsi="Times New Roman" w:eastAsia="仿宋_GB2312" w:cs="Times New Roman"/>
          <w:color w:val="auto"/>
          <w:kern w:val="2"/>
          <w:sz w:val="32"/>
          <w:szCs w:val="32"/>
          <w:lang w:val="zh-CN" w:eastAsia="zh-CN" w:bidi="ar-SA"/>
        </w:rPr>
        <w:t>原则对项目资金进行申请和支付。</w:t>
      </w:r>
    </w:p>
    <w:p w14:paraId="7E19A90C">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（二）项目绩效目标。</w:t>
      </w:r>
    </w:p>
    <w:p w14:paraId="657FA5F4">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 项目主要内容。</w:t>
      </w:r>
    </w:p>
    <w:p w14:paraId="6C7D868B">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项目建设主要内容</w:t>
      </w:r>
      <w:r>
        <w:rPr>
          <w:rFonts w:hint="default" w:ascii="Times New Roman" w:hAnsi="Times New Roman" w:eastAsia="仿宋_GB2312" w:cs="Times New Roman"/>
          <w:sz w:val="32"/>
          <w:szCs w:val="32"/>
          <w:lang w:eastAsia="zh-CN"/>
        </w:rPr>
        <w:t>为</w:t>
      </w:r>
      <w:r>
        <w:rPr>
          <w:rFonts w:hint="default" w:ascii="Times New Roman" w:hAnsi="Times New Roman" w:eastAsia="仿宋_GB2312" w:cs="Times New Roman"/>
          <w:sz w:val="32"/>
          <w:szCs w:val="32"/>
        </w:rPr>
        <w:t>：大坝除险加固、放空隧洞和放水隧洞改造加固、更换金属结构和启闭设备、溢洪道修整、右岸近坝库岸边坡及挡墙处理、大坝观测设施恢复完善、完善集雨区水文测报站网和建立大坝安全监测自动化系统、下游报警设施、水库管理房修缮、防汛道路改扩建、新增工程信息化系统、新建防汛仓库和信息化管理中心等</w:t>
      </w:r>
      <w:r>
        <w:rPr>
          <w:rFonts w:hint="default" w:ascii="Times New Roman" w:hAnsi="Times New Roman" w:eastAsia="仿宋" w:cs="Times New Roman"/>
          <w:sz w:val="28"/>
          <w:szCs w:val="28"/>
        </w:rPr>
        <w:t>。</w:t>
      </w:r>
    </w:p>
    <w:p w14:paraId="4AFE433F">
      <w:pPr>
        <w:keepNext w:val="0"/>
        <w:keepLines w:val="0"/>
        <w:pageBreakBefore w:val="0"/>
        <w:numPr>
          <w:ilvl w:val="0"/>
          <w:numId w:val="7"/>
        </w:numPr>
        <w:kinsoku/>
        <w:wordWrap/>
        <w:overflowPunct/>
        <w:topLinePunct w:val="0"/>
        <w:bidi w:val="0"/>
        <w:adjustRightInd w:val="0"/>
        <w:snapToGrid w:val="0"/>
        <w:spacing w:line="560" w:lineRule="exact"/>
        <w:ind w:firstLine="720"/>
        <w:jc w:val="left"/>
        <w:textAlignment w:val="auto"/>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项目应实现的具体绩效目标，包括目标的量化、细化情况以及项目实施进度计划等。</w:t>
      </w:r>
    </w:p>
    <w:p w14:paraId="4A2B27F6">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项目于2024年4月25日开工，2024年11月28日完工；2024年12月6日通过单位工程验收；2024年12月10日通过合同工程完工验收；2025年5月16日通过下闸蓄水验收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lang w:val="en-US" w:eastAsia="zh-CN"/>
        </w:rPr>
        <w:t>2025年10月23日通过档案验收；2025年12月25日取得竣工财务决算批复；2025年12月26日通过竣工验收。胜利水库除险加固项目</w:t>
      </w:r>
      <w:r>
        <w:rPr>
          <w:rFonts w:hint="default" w:ascii="Times New Roman" w:hAnsi="Times New Roman" w:eastAsia="仿宋_GB2312" w:cs="Times New Roman"/>
          <w:color w:val="auto"/>
          <w:sz w:val="32"/>
          <w:szCs w:val="32"/>
        </w:rPr>
        <w:t>消除了</w:t>
      </w:r>
      <w:r>
        <w:rPr>
          <w:rFonts w:hint="default" w:ascii="Times New Roman" w:hAnsi="Times New Roman" w:eastAsia="仿宋_GB2312" w:cs="Times New Roman"/>
          <w:color w:val="auto"/>
          <w:sz w:val="32"/>
          <w:szCs w:val="32"/>
          <w:lang w:val="en-US" w:eastAsia="zh-CN"/>
        </w:rPr>
        <w:t>工程</w:t>
      </w:r>
      <w:r>
        <w:rPr>
          <w:rFonts w:hint="default" w:ascii="Times New Roman" w:hAnsi="Times New Roman" w:eastAsia="仿宋_GB2312" w:cs="Times New Roman"/>
          <w:sz w:val="32"/>
          <w:szCs w:val="32"/>
        </w:rPr>
        <w:t>安全隐患，提升了水库形象，提高了水库信息化、规范化管理的水平和能力。</w:t>
      </w:r>
    </w:p>
    <w:p w14:paraId="2B9882B7">
      <w:pPr>
        <w:keepNext w:val="0"/>
        <w:keepLines w:val="0"/>
        <w:pageBreakBefore w:val="0"/>
        <w:numPr>
          <w:ilvl w:val="0"/>
          <w:numId w:val="7"/>
        </w:numPr>
        <w:kinsoku/>
        <w:wordWrap/>
        <w:overflowPunct/>
        <w:topLinePunct w:val="0"/>
        <w:bidi w:val="0"/>
        <w:adjustRightInd w:val="0"/>
        <w:snapToGrid w:val="0"/>
        <w:spacing w:line="560" w:lineRule="exact"/>
        <w:ind w:left="0" w:leftChars="0" w:firstLine="720" w:firstLineChars="0"/>
        <w:jc w:val="left"/>
        <w:textAlignment w:val="auto"/>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分析评价申报内容是否与实际相符，申报目标是否合理可行。</w:t>
      </w:r>
    </w:p>
    <w:p w14:paraId="4DB28F52">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项目经费申报内容与实际相符，申报目标合理可行。</w:t>
      </w:r>
    </w:p>
    <w:p w14:paraId="3BF1735D">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仿宋_GB2312" w:cs="Times New Roman"/>
          <w:color w:val="auto"/>
          <w:sz w:val="32"/>
          <w:szCs w:val="32"/>
          <w:lang w:val="zh-CN"/>
        </w:rPr>
      </w:pPr>
      <w:r>
        <w:rPr>
          <w:rFonts w:ascii="Times New Roman" w:hAnsi="Times New Roman" w:eastAsia="楷体_GB2312" w:cs="Times New Roman"/>
          <w:b/>
          <w:color w:val="auto"/>
          <w:sz w:val="32"/>
          <w:szCs w:val="32"/>
          <w:lang w:val="zh-CN"/>
        </w:rPr>
        <w:t>（三）项目自评步骤及方法。</w:t>
      </w:r>
    </w:p>
    <w:p w14:paraId="0F80E98F">
      <w:pPr>
        <w:keepNext w:val="0"/>
        <w:keepLines w:val="0"/>
        <w:pageBreakBefore w:val="0"/>
        <w:widowControl w:val="0"/>
        <w:kinsoku/>
        <w:wordWrap/>
        <w:overflowPunct/>
        <w:topLinePunct w:val="0"/>
        <w:bidi w:val="0"/>
        <w:spacing w:line="560" w:lineRule="exact"/>
        <w:ind w:firstLine="640" w:firstLineChars="200"/>
        <w:jc w:val="left"/>
        <w:textAlignment w:val="auto"/>
        <w:rPr>
          <w:rFonts w:ascii="宋体" w:hAnsi="Courier New" w:eastAsia="宋体" w:cs="Times New Roman"/>
          <w:kern w:val="2"/>
          <w:sz w:val="21"/>
          <w:szCs w:val="24"/>
          <w:lang w:val="zh-CN" w:eastAsia="zh-CN" w:bidi="ar-SA"/>
        </w:rPr>
      </w:pPr>
      <w:r>
        <w:rPr>
          <w:rFonts w:hint="default" w:ascii="Times New Roman" w:hAnsi="Times New Roman" w:eastAsia="仿宋_GB2312" w:cs="Times New Roman"/>
          <w:color w:val="auto"/>
          <w:kern w:val="2"/>
          <w:sz w:val="32"/>
          <w:szCs w:val="32"/>
          <w:lang w:val="en-US" w:eastAsia="zh-CN" w:bidi="ar-SA"/>
        </w:rPr>
        <w:t>评价组通过</w:t>
      </w:r>
      <w:r>
        <w:rPr>
          <w:rFonts w:hint="eastAsia" w:ascii="Times New Roman" w:hAnsi="Times New Roman" w:eastAsia="仿宋_GB2312" w:cs="Times New Roman"/>
          <w:color w:val="auto"/>
          <w:kern w:val="2"/>
          <w:sz w:val="32"/>
          <w:szCs w:val="32"/>
          <w:lang w:val="en-US" w:eastAsia="zh-CN" w:bidi="ar-SA"/>
        </w:rPr>
        <w:t>实地现场勘察</w:t>
      </w:r>
      <w:r>
        <w:rPr>
          <w:rFonts w:hint="default" w:ascii="Times New Roman" w:hAnsi="Times New Roman" w:eastAsia="仿宋_GB2312" w:cs="Times New Roman"/>
          <w:color w:val="auto"/>
          <w:kern w:val="2"/>
          <w:sz w:val="32"/>
          <w:szCs w:val="32"/>
          <w:lang w:val="en-US" w:eastAsia="zh-CN" w:bidi="ar-SA"/>
        </w:rPr>
        <w:t>、查阅资料的方式，对</w:t>
      </w:r>
      <w:r>
        <w:rPr>
          <w:rFonts w:hint="eastAsia" w:ascii="Times New Roman" w:hAnsi="Times New Roman" w:eastAsia="仿宋_GB2312" w:cs="Times New Roman"/>
          <w:color w:val="auto"/>
          <w:kern w:val="2"/>
          <w:sz w:val="32"/>
          <w:szCs w:val="32"/>
          <w:lang w:val="en-US" w:eastAsia="zh-CN" w:bidi="ar-SA"/>
        </w:rPr>
        <w:t>该项目</w:t>
      </w:r>
      <w:r>
        <w:rPr>
          <w:rFonts w:hint="default" w:ascii="Times New Roman" w:hAnsi="Times New Roman" w:eastAsia="仿宋_GB2312" w:cs="Times New Roman"/>
          <w:color w:val="auto"/>
          <w:kern w:val="2"/>
          <w:sz w:val="32"/>
          <w:szCs w:val="32"/>
          <w:lang w:val="en-US" w:eastAsia="zh-CN" w:bidi="ar-SA"/>
        </w:rPr>
        <w:t>的专项预算管理、绩</w:t>
      </w:r>
      <w:r>
        <w:rPr>
          <w:rFonts w:hint="default" w:ascii="Times New Roman" w:hAnsi="Times New Roman" w:eastAsia="仿宋_GB2312" w:cs="Times New Roman"/>
          <w:kern w:val="2"/>
          <w:sz w:val="32"/>
          <w:szCs w:val="32"/>
          <w:lang w:val="en-US" w:eastAsia="zh-CN" w:bidi="ar-SA"/>
        </w:rPr>
        <w:t>效结果运用以及是否存在违规违纪等方面进行了综合评价。</w:t>
      </w:r>
    </w:p>
    <w:p w14:paraId="004E9A3E">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二、项目资金申报及使用情况</w:t>
      </w:r>
    </w:p>
    <w:p w14:paraId="6448BD75">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（一）项目资金申报及批复情况。</w:t>
      </w:r>
    </w:p>
    <w:p w14:paraId="283F9C85">
      <w:pPr>
        <w:keepNext w:val="0"/>
        <w:keepLines w:val="0"/>
        <w:pageBreakBefore w:val="0"/>
        <w:kinsoku/>
        <w:wordWrap/>
        <w:overflowPunct/>
        <w:topLinePunct w:val="0"/>
        <w:bidi w:val="0"/>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根据四川省财政厅、四川省水利厅《关于下达增发国债水利领域项目补助资金预算的通知》（川财建〔2024〕3号），2024年1月12日，攀枝花市财政局、攀枝花市水利局印发</w:t>
      </w:r>
      <w:bookmarkStart w:id="58" w:name="OLE_LINK13"/>
      <w:bookmarkStart w:id="59" w:name="OLE_LINK14"/>
      <w:r>
        <w:rPr>
          <w:rFonts w:hint="default" w:ascii="Times New Roman" w:hAnsi="Times New Roman" w:eastAsia="仿宋_GB2312" w:cs="Times New Roman"/>
          <w:sz w:val="32"/>
          <w:szCs w:val="32"/>
        </w:rPr>
        <w:t>《</w:t>
      </w:r>
      <w:bookmarkEnd w:id="58"/>
      <w:bookmarkEnd w:id="59"/>
      <w:r>
        <w:rPr>
          <w:rFonts w:hint="default" w:ascii="Times New Roman" w:hAnsi="Times New Roman" w:eastAsia="仿宋_GB2312" w:cs="Times New Roman"/>
          <w:sz w:val="32"/>
          <w:szCs w:val="32"/>
        </w:rPr>
        <w:t>攀枝花市财政局 攀枝花市水利局关于下达增发国债水利领域项目补助资金预算的通知》（攀财资投〔2024〕1号）向市胜利水利工程运行中心下达6300万元预算项目经费，用于胜利水库除险加固项目建设。攀枝花市</w:t>
      </w:r>
      <w:bookmarkStart w:id="60" w:name="OLE_LINK17"/>
      <w:r>
        <w:rPr>
          <w:rFonts w:hint="default" w:ascii="Times New Roman" w:hAnsi="Times New Roman" w:eastAsia="仿宋_GB2312" w:cs="Times New Roman"/>
          <w:sz w:val="32"/>
          <w:szCs w:val="32"/>
        </w:rPr>
        <w:t>发展和改革委员会</w:t>
      </w:r>
      <w:bookmarkEnd w:id="60"/>
      <w:r>
        <w:rPr>
          <w:rFonts w:hint="default" w:ascii="Times New Roman" w:hAnsi="Times New Roman" w:eastAsia="仿宋_GB2312" w:cs="Times New Roman"/>
          <w:sz w:val="32"/>
          <w:szCs w:val="32"/>
        </w:rPr>
        <w:t>以《关于同意攀枝花市胜利水库除险加固项目调整建设内容的复函》（攀发改函〔2024〕47号）对胜利水库除险加固项目进行了批复。</w:t>
      </w:r>
      <w:r>
        <w:rPr>
          <w:rFonts w:hint="default" w:ascii="Times New Roman" w:hAnsi="Times New Roman" w:eastAsia="仿宋_GB2312" w:cs="Times New Roman"/>
          <w:color w:val="000000"/>
          <w:sz w:val="32"/>
          <w:szCs w:val="32"/>
        </w:rPr>
        <w:t>2024年9月13日，《攀枝花市财政局关于下达胜利水库除险加固项目（国债水利领域项目）配套资金的通知》（攀财资投〔2024〕78号），下达资金额度1645.43万元。</w:t>
      </w:r>
    </w:p>
    <w:p w14:paraId="361852DE">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仿宋_GB2312" w:cs="Times New Roman"/>
          <w:sz w:val="32"/>
          <w:szCs w:val="32"/>
          <w:lang w:val="zh-CN"/>
        </w:rPr>
      </w:pPr>
      <w:r>
        <w:rPr>
          <w:rFonts w:ascii="Times New Roman" w:hAnsi="Times New Roman" w:eastAsia="楷体_GB2312" w:cs="Times New Roman"/>
          <w:b/>
          <w:sz w:val="32"/>
          <w:szCs w:val="32"/>
          <w:lang w:val="zh-CN"/>
        </w:rPr>
        <w:t>（二）资金计划、到位及使用情况（可用表格形式反映）。</w:t>
      </w:r>
    </w:p>
    <w:p w14:paraId="10AAAEEC">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楷体_GB2312" w:cs="Times New Roman"/>
          <w:sz w:val="32"/>
          <w:szCs w:val="32"/>
          <w:lang w:val="zh-CN"/>
        </w:rPr>
      </w:pPr>
      <w:r>
        <w:rPr>
          <w:rFonts w:ascii="Times New Roman" w:hAnsi="Times New Roman" w:eastAsia="楷体_GB2312" w:cs="Times New Roman"/>
          <w:sz w:val="32"/>
          <w:szCs w:val="32"/>
          <w:lang w:val="zh-CN"/>
        </w:rPr>
        <w:t>1．资金计划</w:t>
      </w:r>
      <w:r>
        <w:rPr>
          <w:rFonts w:hint="eastAsia" w:ascii="Times New Roman" w:hAnsi="Times New Roman" w:eastAsia="楷体_GB2312" w:cs="Times New Roman"/>
          <w:sz w:val="32"/>
          <w:szCs w:val="32"/>
          <w:lang w:val="zh-CN"/>
        </w:rPr>
        <w:t>及到位情况</w:t>
      </w:r>
    </w:p>
    <w:p w14:paraId="1A223D09">
      <w:pPr>
        <w:keepNext w:val="0"/>
        <w:keepLines w:val="0"/>
        <w:pageBreakBefore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楷体_GB2312" w:cs="Times New Roman"/>
          <w:sz w:val="32"/>
          <w:szCs w:val="32"/>
          <w:lang w:val="zh-CN"/>
        </w:rPr>
      </w:pPr>
      <w:r>
        <w:rPr>
          <w:rFonts w:hint="default" w:ascii="Times New Roman" w:hAnsi="Times New Roman" w:eastAsia="仿宋_GB2312" w:cs="Times New Roman"/>
          <w:sz w:val="32"/>
          <w:szCs w:val="32"/>
        </w:rPr>
        <w:t>2024年1月12日，下达</w:t>
      </w:r>
      <w:r>
        <w:rPr>
          <w:rFonts w:hint="default" w:ascii="Times New Roman" w:hAnsi="Times New Roman" w:eastAsia="仿宋_GB2312" w:cs="Times New Roman"/>
          <w:sz w:val="32"/>
          <w:szCs w:val="32"/>
          <w:lang w:eastAsia="zh-CN"/>
        </w:rPr>
        <w:t>国债资金</w:t>
      </w:r>
      <w:r>
        <w:rPr>
          <w:rFonts w:hint="default" w:ascii="Times New Roman" w:hAnsi="Times New Roman" w:eastAsia="仿宋_GB2312" w:cs="Times New Roman"/>
          <w:sz w:val="32"/>
          <w:szCs w:val="32"/>
        </w:rPr>
        <w:t>6300万元，</w:t>
      </w:r>
      <w:r>
        <w:rPr>
          <w:rFonts w:hint="default" w:ascii="Times New Roman" w:hAnsi="Times New Roman" w:eastAsia="仿宋_GB2312" w:cs="Times New Roman"/>
          <w:sz w:val="32"/>
          <w:szCs w:val="32"/>
          <w:lang w:val="en-US" w:eastAsia="zh-CN"/>
        </w:rPr>
        <w:t>2025年7月10日下达地方配套资金1645.43万元</w:t>
      </w:r>
      <w:r>
        <w:rPr>
          <w:rFonts w:hint="default" w:ascii="Times New Roman" w:hAnsi="Times New Roman" w:eastAsia="仿宋_GB2312" w:cs="Times New Roman"/>
          <w:sz w:val="32"/>
          <w:szCs w:val="32"/>
        </w:rPr>
        <w:t>用于胜利水库除险加固项目建设</w:t>
      </w:r>
      <w:r>
        <w:rPr>
          <w:rFonts w:hint="default" w:ascii="Times New Roman" w:hAnsi="Times New Roman" w:eastAsia="仿宋_GB2312" w:cs="Times New Roman"/>
          <w:sz w:val="32"/>
          <w:szCs w:val="32"/>
          <w:lang w:val="zh-CN"/>
        </w:rPr>
        <w:t>，</w:t>
      </w:r>
      <w:r>
        <w:rPr>
          <w:rFonts w:hint="default" w:ascii="Times New Roman" w:hAnsi="Times New Roman" w:eastAsia="仿宋_GB2312" w:cs="Times New Roman"/>
          <w:sz w:val="32"/>
          <w:szCs w:val="32"/>
        </w:rPr>
        <w:t>资金到位及时。</w:t>
      </w:r>
    </w:p>
    <w:p w14:paraId="4F334802">
      <w:pPr>
        <w:keepNext w:val="0"/>
        <w:keepLines w:val="0"/>
        <w:pageBreakBefore w:val="0"/>
        <w:numPr>
          <w:ilvl w:val="0"/>
          <w:numId w:val="8"/>
        </w:numPr>
        <w:kinsoku/>
        <w:wordWrap/>
        <w:overflowPunct/>
        <w:topLinePunct w:val="0"/>
        <w:bidi w:val="0"/>
        <w:adjustRightInd w:val="0"/>
        <w:snapToGrid w:val="0"/>
        <w:spacing w:line="560" w:lineRule="exact"/>
        <w:ind w:left="0" w:leftChars="0" w:firstLine="720" w:firstLineChars="0"/>
        <w:jc w:val="left"/>
        <w:textAlignment w:val="auto"/>
        <w:rPr>
          <w:rFonts w:ascii="Times New Roman" w:hAnsi="Times New Roman" w:eastAsia="楷体_GB2312" w:cs="Times New Roman"/>
          <w:sz w:val="32"/>
          <w:szCs w:val="32"/>
          <w:lang w:val="zh-CN"/>
        </w:rPr>
      </w:pPr>
      <w:r>
        <w:rPr>
          <w:rFonts w:ascii="Times New Roman" w:hAnsi="Times New Roman" w:eastAsia="楷体_GB2312" w:cs="Times New Roman"/>
          <w:sz w:val="32"/>
          <w:szCs w:val="32"/>
          <w:lang w:val="zh-CN"/>
        </w:rPr>
        <w:t>资金使用。</w:t>
      </w:r>
    </w:p>
    <w:p w14:paraId="41ABFF1A">
      <w:pPr>
        <w:keepNext w:val="0"/>
        <w:keepLines w:val="0"/>
        <w:pageBreakBefore w:val="0"/>
        <w:numPr>
          <w:ilvl w:val="0"/>
          <w:numId w:val="0"/>
        </w:numPr>
        <w:kinsoku/>
        <w:wordWrap/>
        <w:overflowPunct/>
        <w:topLinePunct w:val="0"/>
        <w:bidi w:val="0"/>
        <w:adjustRightInd w:val="0"/>
        <w:snapToGrid w:val="0"/>
        <w:spacing w:line="560" w:lineRule="exact"/>
        <w:ind w:firstLine="640" w:firstLineChars="200"/>
        <w:jc w:val="left"/>
        <w:textAlignment w:val="auto"/>
        <w:rPr>
          <w:rFonts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截至</w:t>
      </w:r>
      <w:r>
        <w:rPr>
          <w:rFonts w:hint="default" w:ascii="Times New Roman" w:hAnsi="Times New Roman" w:eastAsia="仿宋_GB2312" w:cs="Times New Roman"/>
          <w:color w:val="auto"/>
          <w:sz w:val="32"/>
          <w:szCs w:val="32"/>
          <w:lang w:val="zh-CN"/>
        </w:rPr>
        <w:t>评价时点，</w:t>
      </w:r>
      <w:r>
        <w:rPr>
          <w:rFonts w:hint="default" w:ascii="Times New Roman" w:hAnsi="Times New Roman" w:eastAsia="仿宋_GB2312" w:cs="Times New Roman"/>
          <w:color w:val="auto"/>
          <w:sz w:val="32"/>
          <w:szCs w:val="32"/>
        </w:rPr>
        <w:t>胜利水库除险加固项目</w:t>
      </w:r>
      <w:r>
        <w:rPr>
          <w:rFonts w:hint="default" w:ascii="Times New Roman" w:hAnsi="Times New Roman" w:eastAsia="仿宋_GB2312" w:cs="Times New Roman"/>
          <w:color w:val="auto"/>
          <w:sz w:val="32"/>
          <w:szCs w:val="32"/>
          <w:lang w:val="zh-CN"/>
        </w:rPr>
        <w:t>实际支出增发国债资金</w:t>
      </w:r>
      <w:r>
        <w:rPr>
          <w:rFonts w:hint="default" w:ascii="Times New Roman" w:hAnsi="Times New Roman" w:eastAsia="仿宋_GB2312" w:cs="Times New Roman"/>
          <w:color w:val="auto"/>
          <w:sz w:val="32"/>
          <w:szCs w:val="32"/>
        </w:rPr>
        <w:t>6300</w:t>
      </w:r>
      <w:r>
        <w:rPr>
          <w:rFonts w:hint="default" w:ascii="Times New Roman" w:hAnsi="Times New Roman" w:eastAsia="仿宋_GB2312" w:cs="Times New Roman"/>
          <w:color w:val="auto"/>
          <w:sz w:val="32"/>
          <w:szCs w:val="32"/>
          <w:lang w:val="zh-CN"/>
        </w:rPr>
        <w:t>万元，地方配套资金</w:t>
      </w:r>
      <w:r>
        <w:rPr>
          <w:rFonts w:hint="default" w:ascii="Times New Roman" w:hAnsi="Times New Roman" w:eastAsia="仿宋_GB2312" w:cs="Times New Roman"/>
          <w:color w:val="auto"/>
          <w:sz w:val="32"/>
          <w:szCs w:val="32"/>
          <w:lang w:val="en-US" w:eastAsia="zh-CN"/>
        </w:rPr>
        <w:t>96.9万元，</w:t>
      </w:r>
      <w:r>
        <w:rPr>
          <w:rFonts w:hint="default" w:ascii="Times New Roman" w:hAnsi="Times New Roman" w:eastAsia="仿宋_GB2312" w:cs="Times New Roman"/>
          <w:color w:val="auto"/>
          <w:sz w:val="32"/>
          <w:szCs w:val="32"/>
          <w:lang w:val="zh-CN"/>
        </w:rPr>
        <w:t>资金支付</w:t>
      </w:r>
      <w:r>
        <w:rPr>
          <w:rFonts w:hint="default" w:ascii="Times New Roman" w:hAnsi="Times New Roman" w:eastAsia="仿宋_GB2312" w:cs="Times New Roman"/>
          <w:color w:val="auto"/>
          <w:sz w:val="32"/>
          <w:szCs w:val="32"/>
          <w:lang w:val="en-US" w:eastAsia="zh-CN"/>
        </w:rPr>
        <w:t>未超计划</w:t>
      </w:r>
      <w:r>
        <w:rPr>
          <w:rFonts w:hint="default" w:ascii="Times New Roman" w:hAnsi="Times New Roman" w:eastAsia="仿宋_GB2312" w:cs="Times New Roman"/>
          <w:color w:val="auto"/>
          <w:sz w:val="32"/>
          <w:szCs w:val="32"/>
          <w:lang w:val="zh-CN"/>
        </w:rPr>
        <w:t>。</w:t>
      </w:r>
    </w:p>
    <w:p w14:paraId="7C263FA6">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楷体_GB2312" w:cs="Times New Roman"/>
          <w:b/>
          <w:color w:val="auto"/>
          <w:sz w:val="32"/>
          <w:szCs w:val="32"/>
          <w:lang w:val="zh-CN"/>
        </w:rPr>
      </w:pPr>
      <w:r>
        <w:rPr>
          <w:rFonts w:ascii="Times New Roman" w:hAnsi="Times New Roman" w:eastAsia="楷体_GB2312" w:cs="Times New Roman"/>
          <w:b/>
          <w:color w:val="auto"/>
          <w:sz w:val="32"/>
          <w:szCs w:val="32"/>
          <w:lang w:val="zh-CN"/>
        </w:rPr>
        <w:t>（三）项目财务管理情况。</w:t>
      </w:r>
    </w:p>
    <w:p w14:paraId="1DCD9E2C">
      <w:pPr>
        <w:adjustRightInd w:val="0"/>
        <w:snapToGrid w:val="0"/>
        <w:spacing w:line="560" w:lineRule="exact"/>
        <w:ind w:firstLine="720"/>
        <w:rPr>
          <w:rFonts w:hint="default"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胜利水库除险加固项目</w:t>
      </w:r>
      <w:r>
        <w:rPr>
          <w:rFonts w:hint="default" w:ascii="Times New Roman" w:hAnsi="Times New Roman" w:eastAsia="仿宋_GB2312" w:cs="Times New Roman"/>
          <w:kern w:val="0"/>
          <w:sz w:val="32"/>
          <w:szCs w:val="32"/>
        </w:rPr>
        <w:t>资金管理严格遵守相关法律法规，严格执行财务管理制度，对项目专项资金实行单独核算、专款专用的原则，</w:t>
      </w:r>
      <w:r>
        <w:rPr>
          <w:rFonts w:hint="eastAsia" w:ascii="Times New Roman" w:hAnsi="Times New Roman" w:eastAsia="仿宋_GB2312" w:cs="Times New Roman"/>
          <w:kern w:val="0"/>
          <w:sz w:val="32"/>
          <w:szCs w:val="32"/>
          <w:lang w:eastAsia="zh-CN"/>
        </w:rPr>
        <w:t>及时进行账务处理，会计核算规范，</w:t>
      </w:r>
      <w:r>
        <w:rPr>
          <w:rFonts w:hint="default" w:ascii="Times New Roman" w:hAnsi="Times New Roman" w:eastAsia="仿宋_GB2312" w:cs="Times New Roman"/>
          <w:kern w:val="0"/>
          <w:sz w:val="32"/>
          <w:szCs w:val="32"/>
        </w:rPr>
        <w:t>无专项资金被挤占、截留和挪用现象</w:t>
      </w:r>
      <w:r>
        <w:rPr>
          <w:rFonts w:hint="default" w:ascii="Times New Roman" w:hAnsi="Times New Roman" w:eastAsia="仿宋_GB2312" w:cs="Times New Roman"/>
          <w:sz w:val="32"/>
          <w:szCs w:val="32"/>
          <w:lang w:val="zh-CN"/>
        </w:rPr>
        <w:t>。</w:t>
      </w:r>
    </w:p>
    <w:p w14:paraId="1484CEBC">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三、项目实施及管理情况</w:t>
      </w:r>
    </w:p>
    <w:p w14:paraId="0322C8B2">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（一）项目组织架构及实施流程。</w:t>
      </w:r>
    </w:p>
    <w:p w14:paraId="0105E9FE">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楷体_GB2312" w:cs="Times New Roman"/>
          <w:b/>
          <w:sz w:val="32"/>
          <w:szCs w:val="32"/>
          <w:lang w:val="zh-CN"/>
        </w:rPr>
      </w:pPr>
      <w:r>
        <w:rPr>
          <w:rFonts w:hint="default" w:ascii="Times New Roman" w:hAnsi="Times New Roman" w:eastAsia="仿宋_GB2312" w:cs="Times New Roman"/>
          <w:sz w:val="32"/>
          <w:szCs w:val="32"/>
        </w:rPr>
        <w:t>胜利水库除险加固项目</w:t>
      </w:r>
      <w:r>
        <w:rPr>
          <w:rFonts w:hint="default" w:ascii="Times New Roman" w:hAnsi="Times New Roman" w:eastAsia="仿宋_GB2312" w:cs="Times New Roman"/>
          <w:kern w:val="0"/>
          <w:sz w:val="32"/>
          <w:szCs w:val="32"/>
        </w:rPr>
        <w:t>由相关科室提出规划后，由中心主任办公会讨论决定项目实施，报攀枝花市水利局同意，经四川省水利厅组织审查，攀枝花市发展和改革委员会批复实施，圆满完成建设与支付任务。</w:t>
      </w:r>
    </w:p>
    <w:p w14:paraId="053EFD83">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（二）项目管理情况</w:t>
      </w:r>
      <w:r>
        <w:rPr>
          <w:rFonts w:hint="eastAsia" w:ascii="Times New Roman" w:hAnsi="Times New Roman" w:eastAsia="楷体_GB2312" w:cs="Times New Roman"/>
          <w:b/>
          <w:sz w:val="32"/>
          <w:szCs w:val="32"/>
          <w:lang w:val="zh-CN"/>
        </w:rPr>
        <w:t>。</w:t>
      </w:r>
    </w:p>
    <w:p w14:paraId="0905A8D6">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仿宋_GB2312" w:cs="Times New Roman"/>
          <w:sz w:val="32"/>
          <w:szCs w:val="32"/>
          <w:lang w:val="zh-CN"/>
        </w:rPr>
      </w:pPr>
      <w:r>
        <w:rPr>
          <w:rFonts w:hint="default" w:ascii="Times New Roman" w:hAnsi="Times New Roman" w:eastAsia="仿宋_GB2312" w:cs="Times New Roman"/>
          <w:kern w:val="0"/>
          <w:sz w:val="32"/>
          <w:szCs w:val="32"/>
        </w:rPr>
        <w:t>项目采取公</w:t>
      </w:r>
      <w:r>
        <w:rPr>
          <w:rFonts w:hint="default" w:ascii="Times New Roman" w:hAnsi="Times New Roman" w:eastAsia="仿宋_GB2312" w:cs="Times New Roman"/>
          <w:color w:val="auto"/>
          <w:kern w:val="0"/>
          <w:sz w:val="32"/>
          <w:szCs w:val="32"/>
        </w:rPr>
        <w:t>开</w:t>
      </w:r>
      <w:r>
        <w:rPr>
          <w:rFonts w:hint="default" w:ascii="Times New Roman" w:hAnsi="Times New Roman" w:eastAsia="仿宋_GB2312" w:cs="Times New Roman"/>
          <w:color w:val="auto"/>
          <w:kern w:val="0"/>
          <w:sz w:val="32"/>
          <w:szCs w:val="32"/>
          <w:lang w:val="en-US" w:eastAsia="zh-CN"/>
        </w:rPr>
        <w:t>招标</w:t>
      </w:r>
      <w:r>
        <w:rPr>
          <w:rFonts w:hint="default" w:ascii="Times New Roman" w:hAnsi="Times New Roman" w:eastAsia="仿宋_GB2312" w:cs="Times New Roman"/>
          <w:color w:val="auto"/>
          <w:kern w:val="0"/>
          <w:sz w:val="32"/>
          <w:szCs w:val="32"/>
        </w:rPr>
        <w:t>方式确定中选单位，在</w:t>
      </w:r>
      <w:r>
        <w:rPr>
          <w:rFonts w:hint="default" w:ascii="Times New Roman" w:hAnsi="Times New Roman" w:eastAsia="仿宋_GB2312" w:cs="Times New Roman"/>
          <w:color w:val="auto"/>
          <w:kern w:val="0"/>
          <w:sz w:val="32"/>
          <w:szCs w:val="32"/>
          <w:lang w:val="en-US" w:eastAsia="zh-CN"/>
        </w:rPr>
        <w:t>招标</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val="en-US" w:eastAsia="zh-CN"/>
        </w:rPr>
        <w:t>施工</w:t>
      </w:r>
      <w:r>
        <w:rPr>
          <w:rFonts w:hint="default" w:ascii="Times New Roman" w:hAnsi="Times New Roman" w:eastAsia="仿宋_GB2312" w:cs="Times New Roman"/>
          <w:color w:val="auto"/>
          <w:kern w:val="0"/>
          <w:sz w:val="32"/>
          <w:szCs w:val="32"/>
        </w:rPr>
        <w:t>、验收</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val="en-US" w:eastAsia="zh-CN"/>
        </w:rPr>
        <w:t>决算</w:t>
      </w:r>
      <w:r>
        <w:rPr>
          <w:rFonts w:hint="default" w:ascii="Times New Roman" w:hAnsi="Times New Roman" w:eastAsia="仿宋_GB2312" w:cs="Times New Roman"/>
          <w:color w:val="auto"/>
          <w:kern w:val="0"/>
          <w:sz w:val="32"/>
          <w:szCs w:val="32"/>
        </w:rPr>
        <w:t>等各个环节，严格按照</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val="en-US" w:eastAsia="zh-CN"/>
        </w:rPr>
        <w:t>中华人民共和国招</w:t>
      </w:r>
      <w:r>
        <w:rPr>
          <w:rFonts w:hint="eastAsia" w:eastAsia="仿宋_GB2312" w:cs="Times New Roman"/>
          <w:color w:val="auto"/>
          <w:kern w:val="0"/>
          <w:sz w:val="32"/>
          <w:szCs w:val="32"/>
          <w:lang w:val="en-US" w:eastAsia="zh-CN"/>
        </w:rPr>
        <w:t>标</w:t>
      </w:r>
      <w:r>
        <w:rPr>
          <w:rFonts w:hint="default" w:ascii="Times New Roman" w:hAnsi="Times New Roman" w:eastAsia="仿宋_GB2312" w:cs="Times New Roman"/>
          <w:color w:val="auto"/>
          <w:kern w:val="0"/>
          <w:sz w:val="32"/>
          <w:szCs w:val="32"/>
          <w:lang w:val="en-US" w:eastAsia="zh-CN"/>
        </w:rPr>
        <w:t>投标法</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val="en-US" w:eastAsia="zh-CN"/>
        </w:rPr>
        <w:t>中华人民共和国</w:t>
      </w:r>
      <w:r>
        <w:rPr>
          <w:rFonts w:hint="default" w:ascii="Times New Roman" w:hAnsi="Times New Roman" w:eastAsia="仿宋_GB2312" w:cs="Times New Roman"/>
          <w:color w:val="auto"/>
          <w:kern w:val="0"/>
          <w:sz w:val="32"/>
          <w:szCs w:val="32"/>
        </w:rPr>
        <w:t>政府采购法》《水利工程项目建设管理</w:t>
      </w:r>
      <w:r>
        <w:rPr>
          <w:rFonts w:hint="default" w:ascii="Times New Roman" w:hAnsi="Times New Roman" w:eastAsia="仿宋_GB2312" w:cs="Times New Roman"/>
          <w:color w:val="auto"/>
          <w:kern w:val="0"/>
          <w:sz w:val="32"/>
          <w:szCs w:val="32"/>
          <w:lang w:val="en-US" w:eastAsia="zh-CN"/>
        </w:rPr>
        <w:t>规定</w:t>
      </w:r>
      <w:r>
        <w:rPr>
          <w:rFonts w:hint="default" w:ascii="Times New Roman" w:hAnsi="Times New Roman" w:eastAsia="仿宋_GB2312" w:cs="Times New Roman"/>
          <w:color w:val="auto"/>
          <w:kern w:val="0"/>
          <w:sz w:val="32"/>
          <w:szCs w:val="32"/>
        </w:rPr>
        <w:t>》</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val="en-US" w:eastAsia="zh-CN"/>
        </w:rPr>
        <w:t>水利水电工程施工质量检验与评定规程</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val="en-US" w:eastAsia="zh-CN"/>
        </w:rPr>
        <w:t>水利水电建设工程验收规程</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val="en-US" w:eastAsia="zh-CN"/>
        </w:rPr>
        <w:t>水利基本建设项目竣工财务决算编制规程</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val="en-US" w:eastAsia="zh-CN"/>
        </w:rPr>
        <w:t>等法律法规</w:t>
      </w:r>
      <w:r>
        <w:rPr>
          <w:rFonts w:hint="default" w:ascii="Times New Roman" w:hAnsi="Times New Roman" w:eastAsia="仿宋_GB2312" w:cs="Times New Roman"/>
          <w:color w:val="auto"/>
          <w:kern w:val="0"/>
          <w:sz w:val="32"/>
          <w:szCs w:val="32"/>
        </w:rPr>
        <w:t>执行。</w:t>
      </w:r>
    </w:p>
    <w:p w14:paraId="324D95F2">
      <w:pPr>
        <w:keepNext w:val="0"/>
        <w:keepLines w:val="0"/>
        <w:pageBreakBefore w:val="0"/>
        <w:numPr>
          <w:ilvl w:val="0"/>
          <w:numId w:val="0"/>
        </w:numPr>
        <w:kinsoku/>
        <w:wordWrap/>
        <w:overflowPunct/>
        <w:topLinePunct w:val="0"/>
        <w:bidi w:val="0"/>
        <w:adjustRightInd w:val="0"/>
        <w:snapToGrid w:val="0"/>
        <w:spacing w:line="560" w:lineRule="exact"/>
        <w:ind w:leftChars="100"/>
        <w:jc w:val="left"/>
        <w:textAlignment w:val="auto"/>
        <w:rPr>
          <w:rFonts w:ascii="Times New Roman" w:hAnsi="Times New Roman" w:eastAsia="楷体_GB2312" w:cs="Times New Roman"/>
          <w:b/>
          <w:sz w:val="32"/>
          <w:szCs w:val="32"/>
          <w:lang w:val="zh-CN"/>
        </w:rPr>
      </w:pPr>
      <w:r>
        <w:rPr>
          <w:rFonts w:hint="eastAsia" w:ascii="Times New Roman" w:hAnsi="Times New Roman" w:eastAsia="楷体_GB2312" w:cs="Times New Roman"/>
          <w:b/>
          <w:sz w:val="32"/>
          <w:szCs w:val="32"/>
          <w:lang w:val="zh-CN"/>
        </w:rPr>
        <w:t>（三）</w:t>
      </w:r>
      <w:r>
        <w:rPr>
          <w:rFonts w:ascii="Times New Roman" w:hAnsi="Times New Roman" w:eastAsia="楷体_GB2312" w:cs="Times New Roman"/>
          <w:b/>
          <w:sz w:val="32"/>
          <w:szCs w:val="32"/>
          <w:lang w:val="zh-CN"/>
        </w:rPr>
        <w:t>项目监管情况。</w:t>
      </w:r>
    </w:p>
    <w:p w14:paraId="2E4FB123">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楷体_GB2312" w:cs="Times New Roman"/>
          <w:b/>
          <w:sz w:val="32"/>
          <w:szCs w:val="32"/>
          <w:lang w:val="zh-CN"/>
        </w:rPr>
      </w:pPr>
      <w:r>
        <w:rPr>
          <w:rFonts w:hint="eastAsia" w:ascii="Times New Roman" w:hAnsi="Times New Roman" w:eastAsia="仿宋_GB2312" w:cs="Times New Roman"/>
          <w:kern w:val="0"/>
          <w:sz w:val="32"/>
          <w:szCs w:val="32"/>
          <w:lang w:eastAsia="zh-CN"/>
        </w:rPr>
        <w:t>市水利局</w:t>
      </w:r>
      <w:r>
        <w:rPr>
          <w:rFonts w:hint="default" w:ascii="Times New Roman" w:hAnsi="Times New Roman" w:eastAsia="仿宋_GB2312" w:cs="Times New Roman"/>
          <w:kern w:val="0"/>
          <w:sz w:val="32"/>
          <w:szCs w:val="32"/>
        </w:rPr>
        <w:t>对</w:t>
      </w:r>
      <w:r>
        <w:rPr>
          <w:rFonts w:hint="eastAsia" w:ascii="Times New Roman" w:hAnsi="Times New Roman" w:eastAsia="仿宋_GB2312" w:cs="Times New Roman"/>
          <w:kern w:val="0"/>
          <w:sz w:val="32"/>
          <w:szCs w:val="32"/>
          <w:lang w:eastAsia="zh-CN"/>
        </w:rPr>
        <w:t>该项目</w:t>
      </w:r>
      <w:r>
        <w:rPr>
          <w:rFonts w:hint="default" w:ascii="Times New Roman" w:hAnsi="Times New Roman" w:eastAsia="仿宋_GB2312" w:cs="Times New Roman"/>
          <w:kern w:val="0"/>
          <w:sz w:val="32"/>
          <w:szCs w:val="32"/>
        </w:rPr>
        <w:t>事前、事中、事后</w:t>
      </w:r>
      <w:r>
        <w:rPr>
          <w:rFonts w:hint="eastAsia" w:ascii="Times New Roman" w:hAnsi="Times New Roman" w:eastAsia="仿宋_GB2312" w:cs="Times New Roman"/>
          <w:kern w:val="0"/>
          <w:sz w:val="32"/>
          <w:szCs w:val="32"/>
          <w:lang w:eastAsia="zh-CN"/>
        </w:rPr>
        <w:t>进行</w:t>
      </w:r>
      <w:r>
        <w:rPr>
          <w:rFonts w:hint="default" w:ascii="Times New Roman" w:hAnsi="Times New Roman" w:eastAsia="仿宋_GB2312" w:cs="Times New Roman"/>
          <w:kern w:val="0"/>
          <w:sz w:val="32"/>
          <w:szCs w:val="32"/>
        </w:rPr>
        <w:t>全程监管。</w:t>
      </w:r>
    </w:p>
    <w:p w14:paraId="5AEE8214">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仿宋_GB2312" w:cs="Times New Roman"/>
          <w:sz w:val="32"/>
          <w:szCs w:val="32"/>
          <w:lang w:val="zh-CN"/>
        </w:rPr>
      </w:pPr>
      <w:r>
        <w:rPr>
          <w:rFonts w:ascii="Times New Roman" w:hAnsi="Times New Roman" w:eastAsia="黑体" w:cs="Times New Roman"/>
          <w:sz w:val="32"/>
          <w:szCs w:val="32"/>
        </w:rPr>
        <w:t>四、项目绩效情况</w:t>
      </w:r>
      <w:r>
        <w:rPr>
          <w:rFonts w:ascii="Times New Roman" w:hAnsi="Times New Roman" w:eastAsia="仿宋_GB2312" w:cs="Times New Roman"/>
          <w:sz w:val="32"/>
          <w:szCs w:val="32"/>
          <w:lang w:val="zh-CN"/>
        </w:rPr>
        <w:tab/>
      </w:r>
    </w:p>
    <w:p w14:paraId="382E8D4B">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（一）项目完成情况。</w:t>
      </w:r>
    </w:p>
    <w:p w14:paraId="09581557">
      <w:pPr>
        <w:keepNext w:val="0"/>
        <w:keepLines w:val="0"/>
        <w:pageBreakBefore w:val="0"/>
        <w:kinsoku/>
        <w:wordWrap/>
        <w:overflowPunct/>
        <w:topLinePunct w:val="0"/>
        <w:bidi w:val="0"/>
        <w:adjustRightInd w:val="0"/>
        <w:snapToGrid w:val="0"/>
        <w:spacing w:line="560" w:lineRule="exact"/>
        <w:ind w:firstLine="72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胜利水库除险加固项目</w:t>
      </w:r>
      <w:r>
        <w:rPr>
          <w:rFonts w:hint="default" w:ascii="Times New Roman" w:hAnsi="Times New Roman" w:eastAsia="仿宋_GB2312" w:cs="Times New Roman"/>
          <w:color w:val="auto"/>
          <w:sz w:val="32"/>
          <w:szCs w:val="32"/>
        </w:rPr>
        <w:t>已</w:t>
      </w:r>
      <w:r>
        <w:rPr>
          <w:rFonts w:hint="default" w:ascii="Times New Roman" w:hAnsi="Times New Roman" w:eastAsia="仿宋_GB2312" w:cs="Times New Roman"/>
          <w:color w:val="auto"/>
          <w:sz w:val="32"/>
          <w:szCs w:val="32"/>
          <w:lang w:val="en-US" w:eastAsia="zh-CN"/>
        </w:rPr>
        <w:t>按批复的建设内容按时完成</w:t>
      </w:r>
      <w:r>
        <w:rPr>
          <w:rFonts w:hint="default" w:ascii="Times New Roman" w:hAnsi="Times New Roman" w:eastAsia="仿宋_GB2312" w:cs="Times New Roman"/>
          <w:color w:val="auto"/>
          <w:sz w:val="32"/>
          <w:szCs w:val="32"/>
        </w:rPr>
        <w:t>，该项目已经通过</w:t>
      </w:r>
      <w:r>
        <w:rPr>
          <w:rFonts w:hint="default" w:ascii="Times New Roman" w:hAnsi="Times New Roman" w:eastAsia="仿宋_GB2312" w:cs="Times New Roman"/>
          <w:color w:val="auto"/>
          <w:sz w:val="32"/>
          <w:szCs w:val="32"/>
          <w:lang w:eastAsia="zh-CN"/>
        </w:rPr>
        <w:t>竣工</w:t>
      </w:r>
      <w:r>
        <w:rPr>
          <w:rFonts w:hint="default" w:ascii="Times New Roman" w:hAnsi="Times New Roman" w:eastAsia="仿宋_GB2312" w:cs="Times New Roman"/>
          <w:color w:val="auto"/>
          <w:sz w:val="32"/>
          <w:szCs w:val="32"/>
        </w:rPr>
        <w:t>验收。</w:t>
      </w:r>
    </w:p>
    <w:p w14:paraId="6C400CF8">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（二）项目效益情况。</w:t>
      </w:r>
    </w:p>
    <w:p w14:paraId="03D96F34">
      <w:pPr>
        <w:keepNext w:val="0"/>
        <w:keepLines w:val="0"/>
        <w:pageBreakBefore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auto"/>
          <w:kern w:val="0"/>
          <w:sz w:val="32"/>
          <w:szCs w:val="32"/>
        </w:rPr>
        <w:t>1．经济效益。胜利水库与</w:t>
      </w:r>
      <w:r>
        <w:rPr>
          <w:rFonts w:hint="default" w:ascii="Times New Roman" w:hAnsi="Times New Roman" w:eastAsia="仿宋_GB2312" w:cs="Times New Roman"/>
          <w:color w:val="auto"/>
          <w:kern w:val="0"/>
          <w:sz w:val="32"/>
          <w:szCs w:val="32"/>
          <w:lang w:val="en-US" w:eastAsia="zh-CN"/>
        </w:rPr>
        <w:t>沙坝田</w:t>
      </w:r>
      <w:r>
        <w:rPr>
          <w:rFonts w:hint="default" w:ascii="Times New Roman" w:hAnsi="Times New Roman" w:eastAsia="仿宋_GB2312" w:cs="Times New Roman"/>
          <w:color w:val="auto"/>
          <w:kern w:val="0"/>
          <w:sz w:val="32"/>
          <w:szCs w:val="32"/>
        </w:rPr>
        <w:t>水库联合运行，供金江、大龙潭、大田、仁和</w:t>
      </w:r>
      <w:r>
        <w:rPr>
          <w:rFonts w:hint="default" w:ascii="Times New Roman" w:hAnsi="Times New Roman" w:eastAsia="仿宋_GB2312" w:cs="Times New Roman"/>
          <w:color w:val="auto"/>
          <w:kern w:val="0"/>
          <w:sz w:val="32"/>
          <w:szCs w:val="32"/>
          <w:lang w:val="en-US" w:eastAsia="zh-CN"/>
        </w:rPr>
        <w:t>及</w:t>
      </w:r>
      <w:r>
        <w:rPr>
          <w:rFonts w:hint="default" w:ascii="Times New Roman" w:hAnsi="Times New Roman" w:eastAsia="仿宋_GB2312" w:cs="Times New Roman"/>
          <w:color w:val="auto"/>
          <w:kern w:val="0"/>
          <w:sz w:val="32"/>
          <w:szCs w:val="32"/>
        </w:rPr>
        <w:t>啊喇共</w:t>
      </w:r>
      <w:r>
        <w:rPr>
          <w:rFonts w:hint="default" w:ascii="Times New Roman" w:hAnsi="Times New Roman" w:eastAsia="仿宋_GB2312" w:cs="Times New Roman"/>
          <w:color w:val="auto"/>
          <w:kern w:val="0"/>
          <w:sz w:val="32"/>
          <w:szCs w:val="32"/>
          <w:lang w:val="en-US" w:eastAsia="zh-CN"/>
        </w:rPr>
        <w:t>5</w:t>
      </w:r>
      <w:r>
        <w:rPr>
          <w:rFonts w:hint="default" w:ascii="Times New Roman" w:hAnsi="Times New Roman" w:eastAsia="仿宋_GB2312" w:cs="Times New Roman"/>
          <w:color w:val="auto"/>
          <w:kern w:val="0"/>
          <w:sz w:val="32"/>
          <w:szCs w:val="32"/>
        </w:rPr>
        <w:t>个乡镇</w:t>
      </w:r>
      <w:r>
        <w:rPr>
          <w:rFonts w:hint="default" w:ascii="Times New Roman" w:hAnsi="Times New Roman" w:eastAsia="仿宋_GB2312" w:cs="Times New Roman"/>
          <w:color w:val="auto"/>
          <w:kern w:val="0"/>
          <w:sz w:val="32"/>
          <w:szCs w:val="32"/>
          <w:lang w:val="en-US" w:eastAsia="zh-CN"/>
        </w:rPr>
        <w:t>约8</w:t>
      </w:r>
      <w:r>
        <w:rPr>
          <w:rFonts w:hint="default" w:ascii="Times New Roman" w:hAnsi="Times New Roman" w:eastAsia="仿宋_GB2312" w:cs="Times New Roman"/>
          <w:color w:val="auto"/>
          <w:kern w:val="0"/>
          <w:sz w:val="32"/>
          <w:szCs w:val="32"/>
        </w:rPr>
        <w:t>万亩耕地灌溉用水及灌区生产生活用水，促进地方经济持续发</w:t>
      </w:r>
      <w:r>
        <w:rPr>
          <w:rFonts w:hint="default" w:ascii="Times New Roman" w:hAnsi="Times New Roman" w:eastAsia="仿宋_GB2312" w:cs="Times New Roman"/>
          <w:kern w:val="0"/>
          <w:sz w:val="32"/>
          <w:szCs w:val="32"/>
        </w:rPr>
        <w:t>展。</w:t>
      </w:r>
    </w:p>
    <w:p w14:paraId="08549F22">
      <w:pPr>
        <w:keepNext w:val="0"/>
        <w:keepLines w:val="0"/>
        <w:pageBreakBefore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2．社会效益。</w:t>
      </w:r>
      <w:r>
        <w:rPr>
          <w:rFonts w:hint="default" w:ascii="Times New Roman" w:hAnsi="Times New Roman" w:eastAsia="仿宋_GB2312" w:cs="Times New Roman"/>
          <w:color w:val="000000"/>
          <w:kern w:val="0"/>
          <w:sz w:val="32"/>
          <w:szCs w:val="32"/>
        </w:rPr>
        <w:t>通过项目建设，确保</w:t>
      </w:r>
      <w:r>
        <w:rPr>
          <w:rFonts w:hint="default" w:ascii="Times New Roman" w:hAnsi="Times New Roman" w:eastAsia="仿宋_GB2312" w:cs="Times New Roman"/>
          <w:color w:val="000000"/>
          <w:kern w:val="0"/>
          <w:sz w:val="32"/>
          <w:szCs w:val="32"/>
          <w:lang w:eastAsia="zh-CN"/>
        </w:rPr>
        <w:t>了</w:t>
      </w:r>
      <w:r>
        <w:rPr>
          <w:rFonts w:hint="default" w:ascii="Times New Roman" w:hAnsi="Times New Roman" w:eastAsia="仿宋_GB2312" w:cs="Times New Roman"/>
          <w:color w:val="000000"/>
          <w:kern w:val="0"/>
          <w:sz w:val="32"/>
          <w:szCs w:val="32"/>
        </w:rPr>
        <w:t>水利工程安全运行，保障</w:t>
      </w:r>
      <w:r>
        <w:rPr>
          <w:rFonts w:hint="default" w:ascii="Times New Roman" w:hAnsi="Times New Roman" w:eastAsia="仿宋_GB2312" w:cs="Times New Roman"/>
          <w:color w:val="auto"/>
          <w:kern w:val="0"/>
          <w:sz w:val="32"/>
          <w:szCs w:val="32"/>
          <w:lang w:eastAsia="zh-CN"/>
        </w:rPr>
        <w:t>了</w:t>
      </w:r>
      <w:r>
        <w:rPr>
          <w:rFonts w:hint="default" w:ascii="Times New Roman" w:hAnsi="Times New Roman" w:eastAsia="仿宋_GB2312" w:cs="Times New Roman"/>
          <w:color w:val="000000"/>
          <w:kern w:val="0"/>
          <w:sz w:val="32"/>
          <w:szCs w:val="32"/>
        </w:rPr>
        <w:t>灌区农业生产用水、应急保障用水，维护</w:t>
      </w:r>
      <w:r>
        <w:rPr>
          <w:rFonts w:hint="default" w:ascii="Times New Roman" w:hAnsi="Times New Roman" w:eastAsia="仿宋_GB2312" w:cs="Times New Roman"/>
          <w:color w:val="auto"/>
          <w:kern w:val="0"/>
          <w:sz w:val="32"/>
          <w:szCs w:val="32"/>
          <w:lang w:eastAsia="zh-CN"/>
        </w:rPr>
        <w:t>了</w:t>
      </w:r>
      <w:r>
        <w:rPr>
          <w:rFonts w:hint="default" w:ascii="Times New Roman" w:hAnsi="Times New Roman" w:eastAsia="仿宋_GB2312" w:cs="Times New Roman"/>
          <w:color w:val="000000"/>
          <w:kern w:val="0"/>
          <w:sz w:val="32"/>
          <w:szCs w:val="32"/>
        </w:rPr>
        <w:t>社会稳定。</w:t>
      </w:r>
    </w:p>
    <w:p w14:paraId="30EDFFF3">
      <w:pPr>
        <w:keepNext w:val="0"/>
        <w:keepLines w:val="0"/>
        <w:pageBreakBefore w:val="0"/>
        <w:kinsoku/>
        <w:wordWrap/>
        <w:overflowPunct/>
        <w:topLinePunct w:val="0"/>
        <w:bidi w:val="0"/>
        <w:spacing w:line="560" w:lineRule="exact"/>
        <w:ind w:firstLine="645"/>
        <w:jc w:val="left"/>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kern w:val="0"/>
          <w:sz w:val="32"/>
          <w:szCs w:val="32"/>
        </w:rPr>
        <w:t>3．生态效益。</w:t>
      </w:r>
      <w:r>
        <w:rPr>
          <w:rFonts w:hint="default" w:ascii="Times New Roman" w:hAnsi="Times New Roman" w:eastAsia="仿宋_GB2312" w:cs="Times New Roman"/>
          <w:sz w:val="32"/>
          <w:szCs w:val="32"/>
          <w:shd w:val="clear" w:color="auto" w:fill="FFFFFF"/>
        </w:rPr>
        <w:t>保障了水库下</w:t>
      </w:r>
      <w:r>
        <w:rPr>
          <w:rFonts w:hint="default" w:ascii="Times New Roman" w:hAnsi="Times New Roman" w:eastAsia="仿宋_GB2312" w:cs="Times New Roman"/>
          <w:color w:val="auto"/>
          <w:sz w:val="32"/>
          <w:szCs w:val="32"/>
          <w:shd w:val="clear" w:color="auto" w:fill="FFFFFF"/>
        </w:rPr>
        <w:t>游</w:t>
      </w:r>
      <w:r>
        <w:rPr>
          <w:rFonts w:hint="default" w:ascii="Times New Roman" w:hAnsi="Times New Roman" w:eastAsia="仿宋_GB2312" w:cs="Times New Roman"/>
          <w:color w:val="auto"/>
          <w:sz w:val="32"/>
          <w:szCs w:val="32"/>
          <w:shd w:val="clear" w:color="auto" w:fill="FFFFFF"/>
          <w:lang w:val="en-US" w:eastAsia="zh-CN"/>
        </w:rPr>
        <w:t>河道</w:t>
      </w:r>
      <w:r>
        <w:rPr>
          <w:rFonts w:hint="default" w:ascii="Times New Roman" w:hAnsi="Times New Roman" w:eastAsia="仿宋_GB2312" w:cs="Times New Roman"/>
          <w:color w:val="auto"/>
          <w:sz w:val="32"/>
          <w:szCs w:val="32"/>
          <w:shd w:val="clear" w:color="auto" w:fill="FFFFFF"/>
        </w:rPr>
        <w:t>生态流量，改善水生态环境，促进地区生态和谐发展。</w:t>
      </w:r>
    </w:p>
    <w:p w14:paraId="6C2D3F0E">
      <w:pPr>
        <w:keepNext w:val="0"/>
        <w:keepLines w:val="0"/>
        <w:pageBreakBefore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4．可持续效益。通过项目实施，保障了工程运行安全和</w:t>
      </w:r>
      <w:r>
        <w:rPr>
          <w:rFonts w:hint="default" w:ascii="Times New Roman" w:hAnsi="Times New Roman" w:eastAsia="仿宋_GB2312" w:cs="Times New Roman"/>
          <w:color w:val="auto"/>
          <w:kern w:val="0"/>
          <w:sz w:val="32"/>
          <w:szCs w:val="32"/>
          <w:lang w:val="en-US" w:eastAsia="zh-CN"/>
        </w:rPr>
        <w:t>水库下游</w:t>
      </w:r>
      <w:r>
        <w:rPr>
          <w:rFonts w:hint="default" w:ascii="Times New Roman" w:hAnsi="Times New Roman" w:eastAsia="仿宋_GB2312" w:cs="Times New Roman"/>
          <w:color w:val="auto"/>
          <w:kern w:val="0"/>
          <w:sz w:val="32"/>
          <w:szCs w:val="32"/>
        </w:rPr>
        <w:t>人民</w:t>
      </w:r>
      <w:r>
        <w:rPr>
          <w:rFonts w:hint="default" w:ascii="Times New Roman" w:hAnsi="Times New Roman" w:eastAsia="仿宋_GB2312" w:cs="Times New Roman"/>
          <w:color w:val="auto"/>
          <w:kern w:val="0"/>
          <w:sz w:val="32"/>
          <w:szCs w:val="32"/>
          <w:lang w:val="en-US" w:eastAsia="zh-CN"/>
        </w:rPr>
        <w:t>群众</w:t>
      </w:r>
      <w:r>
        <w:rPr>
          <w:rFonts w:hint="default" w:ascii="Times New Roman" w:hAnsi="Times New Roman" w:eastAsia="仿宋_GB2312" w:cs="Times New Roman"/>
          <w:kern w:val="0"/>
          <w:sz w:val="32"/>
          <w:szCs w:val="32"/>
        </w:rPr>
        <w:t>生命财产安全，为国民经济持续健康发展和社会稳定提供安全保障。</w:t>
      </w:r>
    </w:p>
    <w:p w14:paraId="48204D0F">
      <w:pPr>
        <w:keepNext w:val="0"/>
        <w:keepLines w:val="0"/>
        <w:pageBreakBefore w:val="0"/>
        <w:kinsoku/>
        <w:wordWrap/>
        <w:overflowPunct/>
        <w:topLinePunct w:val="0"/>
        <w:autoSpaceDE w:val="0"/>
        <w:autoSpaceDN w:val="0"/>
        <w:bidi w:val="0"/>
        <w:adjustRightInd w:val="0"/>
        <w:spacing w:line="560" w:lineRule="exact"/>
        <w:ind w:firstLine="640" w:firstLineChars="200"/>
        <w:jc w:val="left"/>
        <w:textAlignment w:val="auto"/>
        <w:rPr>
          <w:rFonts w:ascii="Times New Roman" w:hAnsi="Times New Roman" w:eastAsia="仿宋_GB2312" w:cs="Times New Roman"/>
          <w:sz w:val="32"/>
          <w:szCs w:val="32"/>
          <w:lang w:val="zh-CN"/>
        </w:rPr>
      </w:pPr>
      <w:r>
        <w:rPr>
          <w:rFonts w:hint="default" w:ascii="Times New Roman" w:hAnsi="Times New Roman" w:eastAsia="仿宋_GB2312" w:cs="Times New Roman"/>
          <w:kern w:val="0"/>
          <w:sz w:val="32"/>
          <w:szCs w:val="32"/>
        </w:rPr>
        <w:t>5．服务对象满意度。根据对灌区群众的调查，满意度95%以上。</w:t>
      </w:r>
    </w:p>
    <w:p w14:paraId="005659F3">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五、评价结论及建议</w:t>
      </w:r>
    </w:p>
    <w:p w14:paraId="714CCC90">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（一）评价结论。</w:t>
      </w:r>
    </w:p>
    <w:p w14:paraId="35267199">
      <w:pPr>
        <w:keepNext w:val="0"/>
        <w:keepLines w:val="0"/>
        <w:pageBreakBefore w:val="0"/>
        <w:kinsoku/>
        <w:wordWrap/>
        <w:overflowPunct/>
        <w:topLinePunct w:val="0"/>
        <w:autoSpaceDE w:val="0"/>
        <w:autoSpaceDN w:val="0"/>
        <w:bidi w:val="0"/>
        <w:adjustRightInd w:val="0"/>
        <w:spacing w:line="560" w:lineRule="exact"/>
        <w:ind w:firstLine="640" w:firstLineChars="200"/>
        <w:jc w:val="left"/>
        <w:textAlignment w:val="auto"/>
        <w:rPr>
          <w:rFonts w:ascii="Times New Roman" w:hAnsi="Times New Roman" w:eastAsia="仿宋_GB2312" w:cs="Times New Roman"/>
          <w:sz w:val="32"/>
          <w:szCs w:val="32"/>
          <w:bdr w:val="single" w:color="auto" w:sz="4" w:space="0"/>
          <w:lang w:val="zh-CN"/>
        </w:rPr>
      </w:pPr>
      <w:r>
        <w:rPr>
          <w:rFonts w:hint="default" w:ascii="Times New Roman" w:hAnsi="Times New Roman" w:eastAsia="仿宋_GB2312" w:cs="Times New Roman"/>
          <w:kern w:val="0"/>
          <w:sz w:val="32"/>
          <w:szCs w:val="32"/>
        </w:rPr>
        <w:t>通过</w:t>
      </w:r>
      <w:r>
        <w:rPr>
          <w:rFonts w:hint="eastAsia" w:ascii="Times New Roman" w:hAnsi="Times New Roman" w:eastAsia="仿宋_GB2312" w:cs="Times New Roman"/>
          <w:kern w:val="0"/>
          <w:sz w:val="32"/>
          <w:szCs w:val="32"/>
          <w:lang w:eastAsia="zh-CN"/>
        </w:rPr>
        <w:t>实施</w:t>
      </w:r>
      <w:r>
        <w:rPr>
          <w:rFonts w:hint="default" w:ascii="Times New Roman" w:hAnsi="Times New Roman" w:eastAsia="仿宋_GB2312" w:cs="Times New Roman"/>
          <w:kern w:val="0"/>
          <w:sz w:val="32"/>
          <w:szCs w:val="32"/>
        </w:rPr>
        <w:t>胜利水库实施除险加固</w:t>
      </w:r>
      <w:r>
        <w:rPr>
          <w:rFonts w:hint="eastAsia" w:ascii="Times New Roman" w:hAnsi="Times New Roman" w:eastAsia="仿宋_GB2312" w:cs="Times New Roman"/>
          <w:kern w:val="0"/>
          <w:sz w:val="32"/>
          <w:szCs w:val="32"/>
          <w:lang w:eastAsia="zh-CN"/>
        </w:rPr>
        <w:t>项目</w:t>
      </w:r>
      <w:r>
        <w:rPr>
          <w:rFonts w:hint="default" w:ascii="Times New Roman" w:hAnsi="Times New Roman" w:eastAsia="仿宋_GB2312" w:cs="Times New Roman"/>
          <w:kern w:val="0"/>
          <w:sz w:val="32"/>
          <w:szCs w:val="32"/>
        </w:rPr>
        <w:t>，消除</w:t>
      </w:r>
      <w:r>
        <w:rPr>
          <w:rFonts w:hint="eastAsia" w:ascii="Times New Roman" w:hAnsi="Times New Roman" w:eastAsia="仿宋_GB2312" w:cs="Times New Roman"/>
          <w:kern w:val="0"/>
          <w:sz w:val="32"/>
          <w:szCs w:val="32"/>
          <w:lang w:eastAsia="zh-CN"/>
        </w:rPr>
        <w:t>了水库</w:t>
      </w:r>
      <w:r>
        <w:rPr>
          <w:rFonts w:hint="default" w:ascii="Times New Roman" w:hAnsi="Times New Roman" w:eastAsia="仿宋_GB2312" w:cs="Times New Roman"/>
          <w:kern w:val="0"/>
          <w:sz w:val="32"/>
          <w:szCs w:val="32"/>
        </w:rPr>
        <w:t>安全隐患，提升水库工程形象，提高水库信息化、规范化管理的水平和能力</w:t>
      </w:r>
      <w:r>
        <w:rPr>
          <w:rFonts w:ascii="Times New Roman" w:hAnsi="Times New Roman" w:eastAsia="仿宋_GB2312" w:cs="Times New Roman"/>
          <w:sz w:val="32"/>
          <w:szCs w:val="32"/>
          <w:lang w:val="zh-CN"/>
        </w:rPr>
        <w:t>。</w:t>
      </w:r>
    </w:p>
    <w:p w14:paraId="2369E1BD">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（二）存在的问题。</w:t>
      </w:r>
    </w:p>
    <w:p w14:paraId="0E75F6BD">
      <w:pPr>
        <w:keepNext w:val="0"/>
        <w:keepLines w:val="0"/>
        <w:pageBreakBefore w:val="0"/>
        <w:kinsoku/>
        <w:wordWrap/>
        <w:overflowPunct/>
        <w:topLinePunct w:val="0"/>
        <w:bidi w:val="0"/>
        <w:adjustRightInd w:val="0"/>
        <w:snapToGrid w:val="0"/>
        <w:spacing w:line="560" w:lineRule="exact"/>
        <w:ind w:firstLine="640" w:firstLineChars="200"/>
        <w:jc w:val="left"/>
        <w:textAlignment w:val="auto"/>
        <w:rPr>
          <w:rFonts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无</w:t>
      </w:r>
      <w:r>
        <w:rPr>
          <w:rFonts w:hint="eastAsia" w:eastAsia="仿宋_GB2312" w:cs="Times New Roman"/>
          <w:sz w:val="32"/>
          <w:szCs w:val="32"/>
          <w:lang w:val="zh-CN"/>
        </w:rPr>
        <w:t>。</w:t>
      </w:r>
      <w:r>
        <w:rPr>
          <w:rFonts w:ascii="Times New Roman" w:hAnsi="Times New Roman" w:eastAsia="仿宋_GB2312" w:cs="Times New Roman"/>
          <w:sz w:val="32"/>
          <w:szCs w:val="32"/>
          <w:lang w:val="zh-CN"/>
        </w:rPr>
        <w:tab/>
      </w:r>
    </w:p>
    <w:p w14:paraId="6937AB43">
      <w:pPr>
        <w:keepNext w:val="0"/>
        <w:keepLines w:val="0"/>
        <w:pageBreakBefore w:val="0"/>
        <w:kinsoku/>
        <w:wordWrap/>
        <w:overflowPunct/>
        <w:topLinePunct w:val="0"/>
        <w:bidi w:val="0"/>
        <w:adjustRightInd w:val="0"/>
        <w:snapToGrid w:val="0"/>
        <w:spacing w:line="560" w:lineRule="exact"/>
        <w:ind w:firstLine="720"/>
        <w:jc w:val="left"/>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（三）相关建议。</w:t>
      </w:r>
    </w:p>
    <w:p w14:paraId="198EF826">
      <w:pPr>
        <w:keepNext w:val="0"/>
        <w:keepLines w:val="0"/>
        <w:pageBreakBefore w:val="0"/>
        <w:kinsoku/>
        <w:wordWrap/>
        <w:overflowPunct/>
        <w:topLinePunct w:val="0"/>
        <w:autoSpaceDE w:val="0"/>
        <w:autoSpaceDN w:val="0"/>
        <w:bidi w:val="0"/>
        <w:adjustRightInd w:val="0"/>
        <w:spacing w:line="56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下一步我中心将加强项目预算管理和绩效目标管理，尽可能减少实际金额与预算金额的偏差。</w:t>
      </w:r>
    </w:p>
    <w:p w14:paraId="4734B7B0">
      <w:pPr>
        <w:keepNext w:val="0"/>
        <w:keepLines w:val="0"/>
        <w:pageBreakBefore w:val="0"/>
        <w:kinsoku/>
        <w:wordWrap/>
        <w:overflowPunct/>
        <w:topLinePunct w:val="0"/>
        <w:bidi w:val="0"/>
        <w:spacing w:line="560" w:lineRule="exact"/>
        <w:jc w:val="left"/>
        <w:textAlignment w:val="auto"/>
        <w:rPr>
          <w:rFonts w:hint="default" w:ascii="Times New Roman" w:hAnsi="Times New Roman" w:eastAsia="方正小标宋_GBK" w:cs="Times New Roman"/>
          <w:color w:val="000000"/>
          <w:kern w:val="2"/>
          <w:sz w:val="44"/>
          <w:szCs w:val="44"/>
          <w:lang w:val="en-US" w:eastAsia="zh-CN" w:bidi="ar-SA"/>
        </w:rPr>
      </w:pPr>
      <w:r>
        <w:rPr>
          <w:rFonts w:hint="default" w:ascii="Times New Roman" w:hAnsi="Times New Roman" w:eastAsia="仿宋_GB2312" w:cs="Times New Roman"/>
          <w:kern w:val="0"/>
          <w:sz w:val="32"/>
          <w:szCs w:val="32"/>
        </w:rPr>
        <w:br w:type="page"/>
      </w:r>
    </w:p>
    <w:p w14:paraId="16900AE7">
      <w:pPr>
        <w:adjustRightInd w:val="0"/>
        <w:snapToGrid w:val="0"/>
        <w:spacing w:line="560" w:lineRule="exact"/>
        <w:jc w:val="center"/>
        <w:rPr>
          <w:rFonts w:hint="default" w:ascii="Times New Roman" w:hAnsi="Times New Roman" w:eastAsia="方正小标宋_GBK" w:cs="Times New Roman"/>
          <w:color w:val="000000"/>
          <w:kern w:val="2"/>
          <w:sz w:val="44"/>
          <w:szCs w:val="44"/>
          <w:lang w:val="en-US" w:eastAsia="zh-CN" w:bidi="ar-SA"/>
        </w:rPr>
      </w:pPr>
      <w:r>
        <w:rPr>
          <w:rFonts w:hint="default" w:ascii="Times New Roman" w:hAnsi="Times New Roman" w:eastAsia="方正小标宋_GBK" w:cs="Times New Roman"/>
          <w:color w:val="000000"/>
          <w:kern w:val="2"/>
          <w:sz w:val="44"/>
          <w:szCs w:val="44"/>
          <w:lang w:val="en-US" w:eastAsia="zh-CN" w:bidi="ar-SA"/>
        </w:rPr>
        <w:t>专项</w:t>
      </w:r>
      <w:r>
        <w:rPr>
          <w:rFonts w:hint="eastAsia" w:ascii="Times New Roman" w:hAnsi="Times New Roman" w:eastAsia="方正小标宋_GBK" w:cs="Times New Roman"/>
          <w:color w:val="000000"/>
          <w:kern w:val="2"/>
          <w:sz w:val="44"/>
          <w:szCs w:val="44"/>
          <w:lang w:val="en-US" w:eastAsia="zh-CN" w:bidi="ar-SA"/>
        </w:rPr>
        <w:t>预算</w:t>
      </w:r>
      <w:r>
        <w:rPr>
          <w:rFonts w:hint="default" w:ascii="Times New Roman" w:hAnsi="Times New Roman" w:eastAsia="方正小标宋_GBK" w:cs="Times New Roman"/>
          <w:color w:val="000000"/>
          <w:kern w:val="2"/>
          <w:sz w:val="44"/>
          <w:szCs w:val="44"/>
          <w:lang w:val="en-US" w:eastAsia="zh-CN" w:bidi="ar-SA"/>
        </w:rPr>
        <w:t>项目</w:t>
      </w:r>
      <w:r>
        <w:rPr>
          <w:rFonts w:hint="eastAsia" w:ascii="Times New Roman" w:hAnsi="Times New Roman" w:eastAsia="方正小标宋_GBK" w:cs="Times New Roman"/>
          <w:color w:val="000000"/>
          <w:kern w:val="2"/>
          <w:sz w:val="44"/>
          <w:szCs w:val="44"/>
          <w:lang w:val="en-US" w:eastAsia="zh-CN" w:bidi="ar-SA"/>
        </w:rPr>
        <w:t>支出</w:t>
      </w:r>
      <w:r>
        <w:rPr>
          <w:rFonts w:hint="default" w:ascii="Times New Roman" w:hAnsi="Times New Roman" w:eastAsia="方正小标宋_GBK" w:cs="Times New Roman"/>
          <w:color w:val="000000"/>
          <w:kern w:val="2"/>
          <w:sz w:val="44"/>
          <w:szCs w:val="44"/>
          <w:lang w:val="en-US" w:eastAsia="zh-CN" w:bidi="ar-SA"/>
        </w:rPr>
        <w:t>绩效自评报告</w:t>
      </w:r>
    </w:p>
    <w:p w14:paraId="748C9DD9">
      <w:pPr>
        <w:adjustRightInd w:val="0"/>
        <w:snapToGrid w:val="0"/>
        <w:spacing w:line="56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（胜利水库灌区计量和视频监控设施建设项目）</w:t>
      </w:r>
    </w:p>
    <w:p w14:paraId="028A89B4">
      <w:pPr>
        <w:autoSpaceDE w:val="0"/>
        <w:autoSpaceDN w:val="0"/>
        <w:adjustRightInd w:val="0"/>
        <w:spacing w:line="600" w:lineRule="exact"/>
        <w:jc w:val="left"/>
        <w:rPr>
          <w:rFonts w:hint="default" w:ascii="Times New Roman" w:hAnsi="Times New Roman" w:eastAsia="仿宋_GB2312" w:cs="Times New Roman"/>
          <w:kern w:val="0"/>
          <w:sz w:val="32"/>
          <w:szCs w:val="32"/>
        </w:rPr>
      </w:pPr>
    </w:p>
    <w:p w14:paraId="0EB98AFB">
      <w:pPr>
        <w:adjustRightInd w:val="0"/>
        <w:snapToGrid w:val="0"/>
        <w:spacing w:line="600" w:lineRule="exact"/>
        <w:ind w:firstLine="720"/>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14:paraId="7B8D4682">
      <w:pPr>
        <w:adjustRightInd w:val="0"/>
        <w:snapToGrid w:val="0"/>
        <w:spacing w:line="600" w:lineRule="exact"/>
        <w:ind w:firstLine="720"/>
        <w:rPr>
          <w:rFonts w:ascii="Times New Roman" w:hAnsi="Times New Roman" w:eastAsia="楷体_GB2312" w:cs="Times New Roman"/>
          <w:b/>
          <w:color w:val="auto"/>
          <w:sz w:val="32"/>
          <w:szCs w:val="32"/>
          <w:lang w:val="zh-CN"/>
        </w:rPr>
      </w:pPr>
      <w:r>
        <w:rPr>
          <w:rFonts w:ascii="Times New Roman" w:hAnsi="Times New Roman" w:eastAsia="楷体_GB2312" w:cs="Times New Roman"/>
          <w:b/>
          <w:color w:val="auto"/>
          <w:sz w:val="32"/>
          <w:szCs w:val="32"/>
          <w:lang w:val="zh-CN"/>
        </w:rPr>
        <w:t>（一）项目基本情况。</w:t>
      </w:r>
    </w:p>
    <w:p w14:paraId="3BFA9114">
      <w:pPr>
        <w:adjustRightInd w:val="0"/>
        <w:snapToGrid w:val="0"/>
        <w:spacing w:line="600" w:lineRule="exact"/>
        <w:ind w:firstLine="720"/>
        <w:rPr>
          <w:rFonts w:ascii="Times New Roman" w:hAnsi="Times New Roman" w:eastAsia="仿宋_GB2312" w:cs="Times New Roman"/>
          <w:color w:val="auto"/>
          <w:sz w:val="32"/>
          <w:szCs w:val="32"/>
          <w:lang w:val="zh-CN"/>
        </w:rPr>
      </w:pPr>
      <w:r>
        <w:rPr>
          <w:rFonts w:ascii="Times New Roman" w:hAnsi="Times New Roman" w:eastAsia="仿宋_GB2312" w:cs="Times New Roman"/>
          <w:color w:val="auto"/>
          <w:sz w:val="32"/>
          <w:szCs w:val="32"/>
          <w:lang w:val="zh-CN"/>
        </w:rPr>
        <w:t>1．说明项目主管部门（单位）在该项目管理中的职能。</w:t>
      </w:r>
    </w:p>
    <w:p w14:paraId="1BDAC295">
      <w:pPr>
        <w:keepNext w:val="0"/>
        <w:keepLines w:val="0"/>
        <w:pageBreakBefore w:val="0"/>
        <w:widowControl w:val="0"/>
        <w:kinsoku/>
        <w:wordWrap/>
        <w:overflowPunct/>
        <w:topLinePunct w:val="0"/>
        <w:bidi w:val="0"/>
        <w:spacing w:line="560" w:lineRule="exact"/>
        <w:ind w:firstLine="640" w:firstLineChars="200"/>
        <w:jc w:val="left"/>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市水利局在该项目中</w:t>
      </w:r>
      <w:r>
        <w:rPr>
          <w:rFonts w:hint="default" w:ascii="Times New Roman" w:hAnsi="Times New Roman" w:eastAsia="仿宋_GB2312" w:cs="Times New Roman"/>
          <w:color w:val="auto"/>
          <w:sz w:val="32"/>
          <w:szCs w:val="32"/>
        </w:rPr>
        <w:t>主要是提出资金分配建议方案，协同财政部门做好资金预算分解下达工作，指导和监督资金使用，确保资金专款专用，提高资金的使用规范性</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安全性和有效性。</w:t>
      </w:r>
    </w:p>
    <w:p w14:paraId="16D8057A">
      <w:pPr>
        <w:keepNext w:val="0"/>
        <w:keepLines w:val="0"/>
        <w:pageBreakBefore w:val="0"/>
        <w:widowControl w:val="0"/>
        <w:kinsoku/>
        <w:wordWrap/>
        <w:overflowPunct/>
        <w:topLinePunct w:val="0"/>
        <w:bidi w:val="0"/>
        <w:spacing w:line="560" w:lineRule="exact"/>
        <w:ind w:firstLine="640" w:firstLineChars="200"/>
        <w:jc w:val="left"/>
        <w:textAlignment w:val="auto"/>
        <w:rPr>
          <w:rFonts w:ascii="Times New Roman" w:hAnsi="Times New Roman" w:eastAsia="仿宋_GB2312" w:cs="Times New Roman"/>
          <w:color w:val="auto"/>
          <w:sz w:val="32"/>
          <w:szCs w:val="32"/>
          <w:lang w:val="zh-CN"/>
        </w:rPr>
      </w:pPr>
      <w:r>
        <w:rPr>
          <w:rFonts w:hint="default" w:ascii="Times New Roman" w:hAnsi="Times New Roman" w:eastAsia="仿宋_GB2312" w:cs="Times New Roman"/>
          <w:color w:val="auto"/>
          <w:sz w:val="32"/>
          <w:szCs w:val="32"/>
        </w:rPr>
        <w:t>定期对项目进行监督检查，及时发现和解决项目实施过程中出现的问题，协同做好预算绩效管理工作，组织开展绩效评价等职能。</w:t>
      </w:r>
    </w:p>
    <w:p w14:paraId="7B2DD72C">
      <w:pPr>
        <w:adjustRightInd w:val="0"/>
        <w:snapToGrid w:val="0"/>
        <w:spacing w:line="600" w:lineRule="exact"/>
        <w:ind w:firstLine="720"/>
        <w:rPr>
          <w:rFonts w:ascii="Times New Roman" w:hAnsi="Times New Roman" w:eastAsia="仿宋_GB2312" w:cs="Times New Roman"/>
          <w:color w:val="auto"/>
          <w:sz w:val="32"/>
          <w:szCs w:val="32"/>
          <w:lang w:val="zh-CN"/>
        </w:rPr>
      </w:pPr>
      <w:r>
        <w:rPr>
          <w:rFonts w:ascii="Times New Roman" w:hAnsi="Times New Roman" w:eastAsia="仿宋_GB2312" w:cs="Times New Roman"/>
          <w:color w:val="auto"/>
          <w:sz w:val="32"/>
          <w:szCs w:val="32"/>
          <w:lang w:val="zh-CN"/>
        </w:rPr>
        <w:t>2. 项目立项、资金申报的依据。</w:t>
      </w:r>
    </w:p>
    <w:p w14:paraId="6EF22F36">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ascii="Times New Roman" w:hAnsi="Times New Roman" w:eastAsia="仿宋_GB2312" w:cs="Times New Roman"/>
          <w:color w:val="auto"/>
          <w:sz w:val="32"/>
          <w:szCs w:val="32"/>
          <w:lang w:val="zh-CN"/>
        </w:rPr>
      </w:pPr>
      <w:r>
        <w:rPr>
          <w:rFonts w:hint="eastAsia" w:ascii="Times New Roman" w:hAnsi="Times New Roman" w:eastAsia="仿宋_GB2312" w:cs="Times New Roman"/>
          <w:color w:val="auto"/>
          <w:sz w:val="32"/>
          <w:szCs w:val="32"/>
          <w:lang w:val="en-US" w:eastAsia="zh-CN"/>
        </w:rPr>
        <w:t>根据攀枝花市人民政府</w:t>
      </w:r>
      <w:r>
        <w:rPr>
          <w:rFonts w:hint="default" w:ascii="Times New Roman" w:hAnsi="Times New Roman" w:eastAsia="仿宋_GB2312" w:cs="Times New Roman"/>
          <w:color w:val="auto"/>
          <w:sz w:val="32"/>
          <w:szCs w:val="32"/>
          <w:lang w:val="en-US" w:eastAsia="zh-CN"/>
        </w:rPr>
        <w:t>关于印发《攀枝花市胜利水库及灌区水权水价改革实施方案》的通知</w:t>
      </w:r>
      <w:r>
        <w:rPr>
          <w:rFonts w:hint="eastAsia" w:ascii="Times New Roman" w:hAnsi="Times New Roman" w:eastAsia="仿宋_GB2312" w:cs="Times New Roman"/>
          <w:color w:val="auto"/>
          <w:sz w:val="32"/>
          <w:szCs w:val="32"/>
          <w:lang w:val="en-US" w:eastAsia="zh-CN"/>
        </w:rPr>
        <w:t>（攀府发</w:t>
      </w:r>
      <w:r>
        <w:rPr>
          <w:rFonts w:hint="eastAsia" w:ascii="仿宋_GB2312" w:hAnsi="仿宋_GB2312" w:eastAsia="仿宋_GB2312" w:cs="仿宋_GB2312"/>
          <w:color w:val="auto"/>
          <w:sz w:val="32"/>
          <w:szCs w:val="32"/>
          <w:lang w:val="en-US" w:eastAsia="zh-CN"/>
        </w:rPr>
        <w:t>〔2024〕4号</w:t>
      </w:r>
      <w:r>
        <w:rPr>
          <w:rFonts w:hint="eastAsia" w:ascii="Times New Roman" w:hAnsi="Times New Roman" w:eastAsia="仿宋_GB2312" w:cs="Times New Roman"/>
          <w:color w:val="auto"/>
          <w:sz w:val="32"/>
          <w:szCs w:val="32"/>
          <w:lang w:val="en-US" w:eastAsia="zh-CN"/>
        </w:rPr>
        <w:t>）文件方案要求2024年6月底前完成胜利水库灌区干渠9</w:t>
      </w:r>
      <w:r>
        <w:rPr>
          <w:rFonts w:hint="default" w:ascii="Times New Roman" w:hAnsi="Times New Roman" w:eastAsia="仿宋_GB2312" w:cs="Times New Roman"/>
          <w:color w:val="auto"/>
          <w:sz w:val="32"/>
          <w:szCs w:val="32"/>
          <w:lang w:val="en-US" w:eastAsia="zh-CN"/>
        </w:rPr>
        <w:t>处用水单元计量监测设施</w:t>
      </w:r>
      <w:r>
        <w:rPr>
          <w:rFonts w:hint="eastAsia" w:ascii="Times New Roman" w:hAnsi="Times New Roman" w:eastAsia="仿宋_GB2312" w:cs="Times New Roman"/>
          <w:color w:val="auto"/>
          <w:sz w:val="32"/>
          <w:szCs w:val="32"/>
          <w:lang w:val="en-US" w:eastAsia="zh-CN"/>
        </w:rPr>
        <w:t>，为水权初始分配和交易提供基础支撑，计划资金50万元。</w:t>
      </w:r>
    </w:p>
    <w:p w14:paraId="48735887">
      <w:pPr>
        <w:adjustRightInd w:val="0"/>
        <w:snapToGrid w:val="0"/>
        <w:spacing w:line="600" w:lineRule="exact"/>
        <w:ind w:firstLine="720"/>
        <w:rPr>
          <w:rFonts w:ascii="Times New Roman" w:hAnsi="Times New Roman" w:eastAsia="仿宋_GB2312" w:cs="Times New Roman"/>
          <w:color w:val="auto"/>
          <w:sz w:val="32"/>
          <w:szCs w:val="32"/>
          <w:lang w:val="zh-CN"/>
        </w:rPr>
      </w:pPr>
      <w:r>
        <w:rPr>
          <w:rFonts w:ascii="Times New Roman" w:hAnsi="Times New Roman" w:eastAsia="仿宋_GB2312" w:cs="Times New Roman"/>
          <w:color w:val="auto"/>
          <w:sz w:val="32"/>
          <w:szCs w:val="32"/>
          <w:lang w:val="zh-CN"/>
        </w:rPr>
        <w:t>3．资金管理办法制定情况，资金支持具体项目的条件、范围与支持方式概况。</w:t>
      </w:r>
    </w:p>
    <w:p w14:paraId="4ECDF6B9">
      <w:pPr>
        <w:keepNext w:val="0"/>
        <w:keepLines w:val="0"/>
        <w:pageBreakBefore w:val="0"/>
        <w:widowControl w:val="0"/>
        <w:kinsoku/>
        <w:wordWrap/>
        <w:overflowPunct/>
        <w:topLinePunct w:val="0"/>
        <w:bidi w:val="0"/>
        <w:spacing w:line="560" w:lineRule="exact"/>
        <w:ind w:firstLine="640" w:firstLineChars="200"/>
        <w:jc w:val="left"/>
        <w:textAlignment w:val="auto"/>
        <w:rPr>
          <w:rFonts w:ascii="Times New Roman" w:hAnsi="Times New Roman" w:eastAsia="仿宋_GB2312" w:cs="Times New Roman"/>
          <w:color w:val="auto"/>
          <w:sz w:val="32"/>
          <w:szCs w:val="32"/>
          <w:lang w:val="zh-CN"/>
        </w:rPr>
      </w:pPr>
      <w:r>
        <w:rPr>
          <w:rFonts w:hint="eastAsia" w:ascii="Times New Roman" w:hAnsi="Times New Roman" w:eastAsia="仿宋_GB2312" w:cs="Times New Roman"/>
          <w:color w:val="000000"/>
          <w:sz w:val="32"/>
          <w:szCs w:val="32"/>
          <w:lang w:val="zh-CN"/>
        </w:rPr>
        <w:t>我中心</w:t>
      </w:r>
      <w:r>
        <w:rPr>
          <w:rFonts w:hint="default" w:ascii="Times New Roman" w:hAnsi="Times New Roman" w:eastAsia="仿宋_GB2312" w:cs="Times New Roman"/>
          <w:color w:val="000000"/>
          <w:sz w:val="32"/>
          <w:szCs w:val="32"/>
          <w:lang w:val="zh-CN"/>
        </w:rPr>
        <w:t>制订了资金管理办法，按规定编制预算；制定了预算执行计划，严格执行预算，对预算执行过程及结果进行了监督。</w:t>
      </w:r>
    </w:p>
    <w:p w14:paraId="616BFFB4">
      <w:pPr>
        <w:adjustRightInd w:val="0"/>
        <w:snapToGrid w:val="0"/>
        <w:spacing w:line="600" w:lineRule="exact"/>
        <w:ind w:firstLine="720"/>
        <w:rPr>
          <w:rFonts w:ascii="Times New Roman" w:hAnsi="Times New Roman" w:eastAsia="仿宋_GB2312" w:cs="Times New Roman"/>
          <w:color w:val="auto"/>
          <w:sz w:val="32"/>
          <w:szCs w:val="32"/>
          <w:lang w:val="zh-CN"/>
        </w:rPr>
      </w:pPr>
      <w:r>
        <w:rPr>
          <w:rFonts w:ascii="Times New Roman" w:hAnsi="Times New Roman" w:eastAsia="仿宋_GB2312" w:cs="Times New Roman"/>
          <w:color w:val="auto"/>
          <w:sz w:val="32"/>
          <w:szCs w:val="32"/>
          <w:lang w:val="zh-CN"/>
        </w:rPr>
        <w:t>4. 资金分配的原则及考虑因素。</w:t>
      </w:r>
    </w:p>
    <w:p w14:paraId="330097A6">
      <w:pPr>
        <w:adjustRightInd w:val="0"/>
        <w:snapToGrid w:val="0"/>
        <w:spacing w:line="600" w:lineRule="exact"/>
        <w:ind w:firstLine="720"/>
        <w:rPr>
          <w:rFonts w:ascii="Times New Roman" w:hAnsi="Times New Roman" w:eastAsia="仿宋_GB2312" w:cs="Times New Roman"/>
          <w:color w:val="C00000"/>
          <w:sz w:val="32"/>
          <w:szCs w:val="32"/>
          <w:lang w:val="zh-CN"/>
        </w:rPr>
      </w:pPr>
      <w:r>
        <w:rPr>
          <w:rFonts w:hint="eastAsia" w:ascii="Times New Roman" w:hAnsi="Times New Roman" w:eastAsia="仿宋_GB2312" w:cs="Times New Roman"/>
          <w:color w:val="auto"/>
          <w:sz w:val="32"/>
          <w:szCs w:val="32"/>
          <w:lang w:val="zh-CN"/>
        </w:rPr>
        <w:t>我中心</w:t>
      </w:r>
      <w:r>
        <w:rPr>
          <w:rFonts w:hint="default" w:ascii="Times New Roman" w:hAnsi="Times New Roman" w:eastAsia="仿宋_GB2312" w:cs="Times New Roman"/>
          <w:color w:val="auto"/>
          <w:sz w:val="32"/>
          <w:szCs w:val="32"/>
          <w:lang w:val="zh-CN"/>
        </w:rPr>
        <w:t>按节约高效</w:t>
      </w:r>
      <w:r>
        <w:rPr>
          <w:rFonts w:hint="default" w:ascii="Times New Roman" w:hAnsi="Times New Roman" w:eastAsia="仿宋_GB2312" w:cs="Times New Roman"/>
          <w:sz w:val="32"/>
          <w:szCs w:val="32"/>
          <w:lang w:val="zh-CN"/>
        </w:rPr>
        <w:t>的资金分配原则对项目资金进行申请和支付。</w:t>
      </w:r>
    </w:p>
    <w:p w14:paraId="44E3B489">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（二）项目绩效目标。</w:t>
      </w:r>
    </w:p>
    <w:p w14:paraId="0D4D47D5">
      <w:pPr>
        <w:adjustRightInd w:val="0"/>
        <w:snapToGrid w:val="0"/>
        <w:spacing w:line="600" w:lineRule="exact"/>
        <w:ind w:firstLine="720"/>
        <w:rPr>
          <w:rFonts w:ascii="Times New Roman" w:hAnsi="Times New Roman" w:eastAsia="仿宋_GB2312" w:cs="Times New Roman"/>
          <w:color w:val="auto"/>
          <w:sz w:val="32"/>
          <w:szCs w:val="32"/>
          <w:lang w:val="zh-CN"/>
        </w:rPr>
      </w:pPr>
      <w:r>
        <w:rPr>
          <w:rFonts w:ascii="Times New Roman" w:hAnsi="Times New Roman" w:eastAsia="仿宋_GB2312" w:cs="Times New Roman"/>
          <w:color w:val="auto"/>
          <w:sz w:val="32"/>
          <w:szCs w:val="32"/>
          <w:lang w:val="zh-CN"/>
        </w:rPr>
        <w:t>1. 项目主要内容。</w:t>
      </w:r>
    </w:p>
    <w:p w14:paraId="52F2A7C4">
      <w:pPr>
        <w:adjustRightInd w:val="0"/>
        <w:snapToGrid w:val="0"/>
        <w:spacing w:line="600" w:lineRule="exact"/>
        <w:ind w:firstLine="720"/>
        <w:rPr>
          <w:rFonts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按要求完成胜利水库灌区</w:t>
      </w:r>
      <w:r>
        <w:rPr>
          <w:rFonts w:hint="eastAsia" w:ascii="Times New Roman" w:hAnsi="Times New Roman" w:eastAsia="仿宋_GB2312" w:cs="Times New Roman"/>
          <w:sz w:val="32"/>
          <w:szCs w:val="32"/>
          <w:lang w:val="en-US" w:eastAsia="zh-CN"/>
        </w:rPr>
        <w:t>干渠</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zh-CN"/>
        </w:rPr>
        <w:t>个片区</w:t>
      </w:r>
      <w:r>
        <w:rPr>
          <w:rFonts w:hint="eastAsia" w:ascii="Times New Roman" w:hAnsi="Times New Roman" w:eastAsia="仿宋_GB2312" w:cs="Times New Roman"/>
          <w:sz w:val="32"/>
          <w:szCs w:val="32"/>
          <w:lang w:val="zh-CN"/>
        </w:rPr>
        <w:t>，</w:t>
      </w:r>
      <w:r>
        <w:rPr>
          <w:rFonts w:hint="eastAsia" w:ascii="Times New Roman" w:hAnsi="Times New Roman" w:eastAsia="仿宋_GB2312" w:cs="Times New Roman"/>
          <w:sz w:val="32"/>
          <w:szCs w:val="32"/>
          <w:lang w:val="en-US" w:eastAsia="zh-CN"/>
        </w:rPr>
        <w:t>共计</w:t>
      </w:r>
      <w:r>
        <w:rPr>
          <w:rFonts w:hint="default" w:ascii="Times New Roman" w:hAnsi="Times New Roman" w:eastAsia="仿宋_GB2312" w:cs="Times New Roman"/>
          <w:sz w:val="32"/>
          <w:szCs w:val="32"/>
          <w:lang w:val="en-US" w:eastAsia="zh-CN"/>
        </w:rPr>
        <w:t>9处</w:t>
      </w:r>
      <w:r>
        <w:rPr>
          <w:rFonts w:hint="eastAsia" w:ascii="Times New Roman" w:hAnsi="Times New Roman" w:eastAsia="仿宋_GB2312" w:cs="Times New Roman"/>
          <w:sz w:val="32"/>
          <w:szCs w:val="32"/>
          <w:lang w:val="en-US" w:eastAsia="zh-CN"/>
        </w:rPr>
        <w:t>（阿署达支渠出口1处、龙树湾阿署达支渠进口1处、龙树湾阿署达金江分水口1处、龙树湾乐弄分水口1处、三棵树分水口1处、白岩子暗渠分水口1处、大份田分水口1处、放水洞出口1处、放空洞出口1处）</w:t>
      </w:r>
      <w:r>
        <w:rPr>
          <w:rFonts w:hint="default" w:ascii="Times New Roman" w:hAnsi="Times New Roman" w:eastAsia="仿宋_GB2312" w:cs="Times New Roman"/>
          <w:sz w:val="32"/>
          <w:szCs w:val="32"/>
          <w:lang w:val="en-US" w:eastAsia="zh-CN"/>
        </w:rPr>
        <w:t>计量</w:t>
      </w:r>
      <w:r>
        <w:rPr>
          <w:rFonts w:hint="eastAsia" w:ascii="Times New Roman" w:hAnsi="Times New Roman" w:eastAsia="仿宋_GB2312" w:cs="Times New Roman"/>
          <w:sz w:val="32"/>
          <w:szCs w:val="32"/>
          <w:lang w:val="en-US" w:eastAsia="zh-CN"/>
        </w:rPr>
        <w:t>设施</w:t>
      </w:r>
      <w:r>
        <w:rPr>
          <w:rFonts w:hint="default" w:ascii="Times New Roman" w:hAnsi="Times New Roman" w:eastAsia="仿宋_GB2312" w:cs="Times New Roman"/>
          <w:sz w:val="32"/>
          <w:szCs w:val="32"/>
          <w:lang w:val="en-US" w:eastAsia="zh-CN"/>
        </w:rPr>
        <w:t>及视频监控安装</w:t>
      </w:r>
      <w:r>
        <w:rPr>
          <w:rFonts w:hint="default" w:ascii="Times New Roman" w:hAnsi="Times New Roman" w:eastAsia="仿宋_GB2312" w:cs="Times New Roman"/>
          <w:sz w:val="32"/>
          <w:szCs w:val="32"/>
          <w:lang w:val="zh-CN"/>
        </w:rPr>
        <w:t>。</w:t>
      </w:r>
    </w:p>
    <w:p w14:paraId="5205FD97">
      <w:pPr>
        <w:adjustRightInd w:val="0"/>
        <w:snapToGrid w:val="0"/>
        <w:spacing w:line="600"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 项目应实现的具体绩效目标，包括目标的量化、细化情况以及项目实施进度计划等。</w:t>
      </w:r>
    </w:p>
    <w:p w14:paraId="47709D47">
      <w:pPr>
        <w:numPr>
          <w:ilvl w:val="0"/>
          <w:numId w:val="0"/>
        </w:numPr>
        <w:adjustRightInd w:val="0"/>
        <w:snapToGrid w:val="0"/>
        <w:spacing w:line="560" w:lineRule="exact"/>
        <w:ind w:firstLine="640" w:firstLineChars="200"/>
        <w:rPr>
          <w:rFonts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zh-CN"/>
        </w:rPr>
        <w:t>年</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zh-CN"/>
        </w:rPr>
        <w:t>月</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lang w:val="zh-CN"/>
        </w:rPr>
        <w:t>日前完成胜利水库灌区计量监测视频监控及闸门自动化设施安装，按要求完成灌区</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zh-CN"/>
        </w:rPr>
        <w:t>个片区划定完成</w:t>
      </w:r>
      <w:r>
        <w:rPr>
          <w:rFonts w:hint="default" w:ascii="Times New Roman" w:hAnsi="Times New Roman" w:eastAsia="仿宋_GB2312" w:cs="Times New Roman"/>
          <w:sz w:val="32"/>
          <w:szCs w:val="32"/>
          <w:lang w:val="en-US" w:eastAsia="zh-CN"/>
        </w:rPr>
        <w:t>9处计量及视频监控安装</w:t>
      </w:r>
      <w:r>
        <w:rPr>
          <w:rFonts w:hint="default" w:ascii="Times New Roman" w:hAnsi="Times New Roman" w:eastAsia="仿宋_GB2312" w:cs="Times New Roman"/>
          <w:sz w:val="32"/>
          <w:szCs w:val="32"/>
          <w:lang w:val="zh-CN"/>
        </w:rPr>
        <w:t>。</w:t>
      </w:r>
    </w:p>
    <w:p w14:paraId="0B083C39">
      <w:pPr>
        <w:adjustRightInd w:val="0"/>
        <w:snapToGrid w:val="0"/>
        <w:spacing w:line="600"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 分析评价申报内容是否与实际相符，申报目标是否合理可行。</w:t>
      </w:r>
    </w:p>
    <w:p w14:paraId="71098F8C">
      <w:pPr>
        <w:numPr>
          <w:ilvl w:val="0"/>
          <w:numId w:val="0"/>
        </w:numPr>
        <w:adjustRightInd w:val="0"/>
        <w:snapToGrid w:val="0"/>
        <w:spacing w:line="560" w:lineRule="exact"/>
        <w:ind w:firstLine="640" w:firstLineChars="200"/>
        <w:rPr>
          <w:rFonts w:ascii="Times New Roman" w:hAnsi="Times New Roman" w:eastAsia="仿宋_GB2312" w:cs="Times New Roman"/>
          <w:sz w:val="32"/>
          <w:szCs w:val="32"/>
          <w:lang w:val="zh-CN"/>
        </w:rPr>
      </w:pPr>
      <w:r>
        <w:rPr>
          <w:rFonts w:hint="default" w:ascii="Times New Roman" w:hAnsi="Times New Roman" w:eastAsia="仿宋_GB2312" w:cs="Times New Roman"/>
          <w:sz w:val="32"/>
          <w:szCs w:val="32"/>
        </w:rPr>
        <w:t>项目经费申报内容与实际相符，申报目标合理可行。</w:t>
      </w:r>
    </w:p>
    <w:p w14:paraId="665F718F">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（三）项目自评步骤及方法。</w:t>
      </w:r>
    </w:p>
    <w:p w14:paraId="6DBD9E40">
      <w:pPr>
        <w:keepNext w:val="0"/>
        <w:keepLines w:val="0"/>
        <w:pageBreakBefore w:val="0"/>
        <w:widowControl w:val="0"/>
        <w:kinsoku/>
        <w:wordWrap/>
        <w:overflowPunct/>
        <w:topLinePunct w:val="0"/>
        <w:bidi w:val="0"/>
        <w:spacing w:line="560" w:lineRule="exact"/>
        <w:ind w:firstLine="640" w:firstLineChars="200"/>
        <w:jc w:val="left"/>
        <w:textAlignment w:val="auto"/>
        <w:rPr>
          <w:rFonts w:ascii="宋体" w:hAnsi="Courier New" w:eastAsia="宋体" w:cs="Times New Roman"/>
          <w:kern w:val="2"/>
          <w:sz w:val="21"/>
          <w:szCs w:val="24"/>
          <w:lang w:val="zh-CN" w:eastAsia="zh-CN" w:bidi="ar-SA"/>
        </w:rPr>
      </w:pPr>
      <w:r>
        <w:rPr>
          <w:rFonts w:hint="default" w:ascii="Times New Roman" w:hAnsi="Times New Roman" w:eastAsia="仿宋_GB2312" w:cs="Times New Roman"/>
          <w:color w:val="auto"/>
          <w:kern w:val="2"/>
          <w:sz w:val="32"/>
          <w:szCs w:val="32"/>
          <w:lang w:val="en-US" w:eastAsia="zh-CN" w:bidi="ar-SA"/>
        </w:rPr>
        <w:t>评价组通过</w:t>
      </w:r>
      <w:r>
        <w:rPr>
          <w:rFonts w:hint="eastAsia" w:ascii="Times New Roman" w:hAnsi="Times New Roman" w:eastAsia="仿宋_GB2312" w:cs="Times New Roman"/>
          <w:color w:val="auto"/>
          <w:kern w:val="2"/>
          <w:sz w:val="32"/>
          <w:szCs w:val="32"/>
          <w:lang w:val="en-US" w:eastAsia="zh-CN" w:bidi="ar-SA"/>
        </w:rPr>
        <w:t>实地现场勘察</w:t>
      </w:r>
      <w:r>
        <w:rPr>
          <w:rFonts w:hint="default" w:ascii="Times New Roman" w:hAnsi="Times New Roman" w:eastAsia="仿宋_GB2312" w:cs="Times New Roman"/>
          <w:color w:val="auto"/>
          <w:kern w:val="2"/>
          <w:sz w:val="32"/>
          <w:szCs w:val="32"/>
          <w:lang w:val="en-US" w:eastAsia="zh-CN" w:bidi="ar-SA"/>
        </w:rPr>
        <w:t>、查阅资料</w:t>
      </w:r>
      <w:r>
        <w:rPr>
          <w:rFonts w:hint="eastAsia" w:ascii="Times New Roman" w:hAnsi="Times New Roman" w:eastAsia="仿宋_GB2312" w:cs="Times New Roman"/>
          <w:color w:val="auto"/>
          <w:kern w:val="2"/>
          <w:sz w:val="32"/>
          <w:szCs w:val="32"/>
          <w:lang w:val="en-US" w:eastAsia="zh-CN" w:bidi="ar-SA"/>
        </w:rPr>
        <w:t>、走访调查</w:t>
      </w:r>
      <w:r>
        <w:rPr>
          <w:rFonts w:hint="default" w:ascii="Times New Roman" w:hAnsi="Times New Roman" w:eastAsia="仿宋_GB2312" w:cs="Times New Roman"/>
          <w:color w:val="auto"/>
          <w:kern w:val="2"/>
          <w:sz w:val="32"/>
          <w:szCs w:val="32"/>
          <w:lang w:val="en-US" w:eastAsia="zh-CN" w:bidi="ar-SA"/>
        </w:rPr>
        <w:t>的方式，对</w:t>
      </w:r>
      <w:r>
        <w:rPr>
          <w:rFonts w:hint="eastAsia" w:ascii="Times New Roman" w:hAnsi="Times New Roman" w:eastAsia="仿宋_GB2312" w:cs="Times New Roman"/>
          <w:color w:val="auto"/>
          <w:kern w:val="2"/>
          <w:sz w:val="32"/>
          <w:szCs w:val="32"/>
          <w:lang w:val="en-US" w:eastAsia="zh-CN" w:bidi="ar-SA"/>
        </w:rPr>
        <w:t>该项目</w:t>
      </w:r>
      <w:r>
        <w:rPr>
          <w:rFonts w:hint="default" w:ascii="Times New Roman" w:hAnsi="Times New Roman" w:eastAsia="仿宋_GB2312" w:cs="Times New Roman"/>
          <w:color w:val="auto"/>
          <w:kern w:val="2"/>
          <w:sz w:val="32"/>
          <w:szCs w:val="32"/>
          <w:lang w:val="en-US" w:eastAsia="zh-CN" w:bidi="ar-SA"/>
        </w:rPr>
        <w:t>的专项预算管理、绩</w:t>
      </w:r>
      <w:r>
        <w:rPr>
          <w:rFonts w:hint="default" w:ascii="Times New Roman" w:hAnsi="Times New Roman" w:eastAsia="仿宋_GB2312" w:cs="Times New Roman"/>
          <w:kern w:val="2"/>
          <w:sz w:val="32"/>
          <w:szCs w:val="32"/>
          <w:lang w:val="en-US" w:eastAsia="zh-CN" w:bidi="ar-SA"/>
        </w:rPr>
        <w:t>效结果运用以及是否存在违规违纪等方面进行了综合评价。</w:t>
      </w:r>
    </w:p>
    <w:p w14:paraId="3E811B76">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二、项目资金申报及使用情况</w:t>
      </w:r>
    </w:p>
    <w:p w14:paraId="11358325">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（一）项目资金申报及批复情况。</w:t>
      </w:r>
    </w:p>
    <w:p w14:paraId="5D3BB628">
      <w:pPr>
        <w:numPr>
          <w:ilvl w:val="0"/>
          <w:numId w:val="0"/>
        </w:numPr>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val="zh-CN"/>
        </w:rPr>
        <w:t>按照资金管理办法申请市财政资金</w:t>
      </w:r>
      <w:r>
        <w:rPr>
          <w:rFonts w:hint="default" w:ascii="Times New Roman" w:hAnsi="Times New Roman" w:eastAsia="仿宋_GB2312" w:cs="Times New Roman"/>
          <w:sz w:val="32"/>
          <w:szCs w:val="32"/>
          <w:lang w:val="en-US" w:eastAsia="zh-CN"/>
        </w:rPr>
        <w:t>50</w:t>
      </w:r>
      <w:r>
        <w:rPr>
          <w:rFonts w:hint="default" w:ascii="Times New Roman" w:hAnsi="Times New Roman" w:eastAsia="仿宋_GB2312" w:cs="Times New Roman"/>
          <w:sz w:val="32"/>
          <w:szCs w:val="32"/>
          <w:lang w:val="zh-CN"/>
        </w:rPr>
        <w:t>万元，并获得财政局批复，要求采取项目完工报账制方式开展</w:t>
      </w:r>
      <w:r>
        <w:rPr>
          <w:rFonts w:hint="default" w:ascii="Times New Roman" w:hAnsi="Times New Roman" w:eastAsia="仿宋_GB2312" w:cs="Times New Roman"/>
          <w:b w:val="0"/>
          <w:bCs w:val="0"/>
          <w:color w:val="auto"/>
          <w:sz w:val="32"/>
          <w:szCs w:val="32"/>
          <w:lang w:val="zh-CN"/>
        </w:rPr>
        <w:t>。项目</w:t>
      </w:r>
      <w:r>
        <w:rPr>
          <w:rFonts w:hint="default" w:ascii="Times New Roman" w:hAnsi="Times New Roman" w:eastAsia="仿宋_GB2312" w:cs="Times New Roman"/>
          <w:b w:val="0"/>
          <w:bCs w:val="0"/>
          <w:color w:val="auto"/>
          <w:sz w:val="32"/>
          <w:szCs w:val="32"/>
          <w:lang w:val="en-US" w:eastAsia="zh-CN"/>
        </w:rPr>
        <w:t>通过</w:t>
      </w:r>
      <w:r>
        <w:rPr>
          <w:rFonts w:hint="default" w:ascii="Times New Roman" w:hAnsi="Times New Roman" w:eastAsia="仿宋_GB2312" w:cs="Times New Roman"/>
          <w:b w:val="0"/>
          <w:bCs w:val="0"/>
          <w:color w:val="auto"/>
          <w:sz w:val="32"/>
          <w:szCs w:val="32"/>
          <w:lang w:val="zh-CN"/>
        </w:rPr>
        <w:t>竞争性磋商</w:t>
      </w:r>
      <w:r>
        <w:rPr>
          <w:rFonts w:hint="default" w:ascii="Times New Roman" w:hAnsi="Times New Roman" w:eastAsia="仿宋_GB2312" w:cs="Times New Roman"/>
          <w:b w:val="0"/>
          <w:bCs w:val="0"/>
          <w:color w:val="auto"/>
          <w:sz w:val="32"/>
          <w:szCs w:val="32"/>
          <w:lang w:val="en-US" w:eastAsia="zh-CN"/>
        </w:rPr>
        <w:t>方式</w:t>
      </w:r>
      <w:r>
        <w:rPr>
          <w:rFonts w:hint="default" w:ascii="Times New Roman" w:hAnsi="Times New Roman" w:eastAsia="仿宋_GB2312" w:cs="Times New Roman"/>
          <w:b w:val="0"/>
          <w:bCs w:val="0"/>
          <w:color w:val="auto"/>
          <w:sz w:val="32"/>
          <w:szCs w:val="32"/>
          <w:lang w:val="zh-CN"/>
        </w:rPr>
        <w:t>确定灌区计量监测视频监控及闸门自动化设施安装费用</w:t>
      </w:r>
      <w:r>
        <w:rPr>
          <w:rFonts w:hint="default" w:ascii="Times New Roman" w:hAnsi="Times New Roman" w:eastAsia="仿宋_GB2312" w:cs="Times New Roman"/>
          <w:b w:val="0"/>
          <w:bCs w:val="0"/>
          <w:color w:val="auto"/>
          <w:sz w:val="32"/>
          <w:szCs w:val="32"/>
          <w:lang w:val="en-US" w:eastAsia="zh-CN"/>
        </w:rPr>
        <w:t>为25.4215</w:t>
      </w:r>
      <w:r>
        <w:rPr>
          <w:rFonts w:hint="default" w:ascii="Times New Roman" w:hAnsi="Times New Roman" w:eastAsia="仿宋_GB2312" w:cs="Times New Roman"/>
          <w:b w:val="0"/>
          <w:bCs w:val="0"/>
          <w:color w:val="auto"/>
          <w:sz w:val="32"/>
          <w:szCs w:val="32"/>
          <w:lang w:val="zh-CN"/>
        </w:rPr>
        <w:t>万元</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zh-CN"/>
        </w:rPr>
        <w:t>胜利水库用水单位分水口计量监控及闸门自动化设施设计</w:t>
      </w:r>
      <w:r>
        <w:rPr>
          <w:rFonts w:hint="default" w:ascii="Times New Roman" w:hAnsi="Times New Roman" w:eastAsia="仿宋_GB2312" w:cs="Times New Roman"/>
          <w:b w:val="0"/>
          <w:bCs w:val="0"/>
          <w:color w:val="auto"/>
          <w:sz w:val="32"/>
          <w:szCs w:val="32"/>
          <w:lang w:val="en-US" w:eastAsia="zh-CN"/>
        </w:rPr>
        <w:t>施工</w:t>
      </w:r>
      <w:r>
        <w:rPr>
          <w:rFonts w:hint="default" w:ascii="Times New Roman" w:hAnsi="Times New Roman" w:eastAsia="仿宋_GB2312" w:cs="Times New Roman"/>
          <w:b w:val="0"/>
          <w:bCs w:val="0"/>
          <w:color w:val="auto"/>
          <w:sz w:val="32"/>
          <w:szCs w:val="32"/>
          <w:lang w:val="zh-CN"/>
        </w:rPr>
        <w:t>总承包</w:t>
      </w:r>
      <w:r>
        <w:rPr>
          <w:rFonts w:hint="default" w:ascii="Times New Roman" w:hAnsi="Times New Roman" w:eastAsia="仿宋_GB2312" w:cs="Times New Roman"/>
          <w:b w:val="0"/>
          <w:bCs w:val="0"/>
          <w:color w:val="auto"/>
          <w:sz w:val="32"/>
          <w:szCs w:val="32"/>
          <w:lang w:val="en-US" w:eastAsia="zh-CN"/>
        </w:rPr>
        <w:t>费用为</w:t>
      </w:r>
      <w:r>
        <w:rPr>
          <w:rFonts w:hint="default" w:ascii="Times New Roman" w:hAnsi="Times New Roman" w:eastAsia="仿宋_GB2312" w:cs="Times New Roman"/>
          <w:b w:val="0"/>
          <w:bCs w:val="0"/>
          <w:color w:val="auto"/>
          <w:sz w:val="32"/>
          <w:szCs w:val="32"/>
          <w:lang w:val="en-US"/>
        </w:rPr>
        <w:t>29.82</w:t>
      </w:r>
      <w:r>
        <w:rPr>
          <w:rFonts w:hint="default" w:ascii="Times New Roman" w:hAnsi="Times New Roman" w:eastAsia="仿宋_GB2312" w:cs="Times New Roman"/>
          <w:color w:val="auto"/>
          <w:sz w:val="32"/>
          <w:szCs w:val="32"/>
          <w:lang w:val="en-US"/>
        </w:rPr>
        <w:t>6</w:t>
      </w:r>
      <w:r>
        <w:rPr>
          <w:rFonts w:hint="default" w:ascii="Times New Roman" w:hAnsi="Times New Roman" w:eastAsia="仿宋_GB2312" w:cs="Times New Roman"/>
          <w:color w:val="auto"/>
          <w:sz w:val="32"/>
          <w:szCs w:val="32"/>
          <w:lang w:val="en-US" w:eastAsia="zh-CN"/>
        </w:rPr>
        <w:t>万元。</w:t>
      </w:r>
    </w:p>
    <w:p w14:paraId="554B608D">
      <w:pPr>
        <w:adjustRightInd w:val="0"/>
        <w:snapToGrid w:val="0"/>
        <w:spacing w:line="600"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b/>
          <w:sz w:val="32"/>
          <w:szCs w:val="32"/>
          <w:lang w:val="zh-CN"/>
        </w:rPr>
        <w:t>（二）资金计划、到位及使用情况（可用表格形式反映）。</w:t>
      </w:r>
    </w:p>
    <w:p w14:paraId="507927E5">
      <w:pPr>
        <w:adjustRightInd w:val="0"/>
        <w:snapToGrid w:val="0"/>
        <w:spacing w:line="560" w:lineRule="exact"/>
        <w:ind w:firstLine="720"/>
        <w:rPr>
          <w:rFonts w:hint="default" w:ascii="Times New Roman" w:hAnsi="Times New Roman" w:eastAsia="仿宋_GB2312" w:cs="Times New Roman"/>
          <w:color w:val="auto"/>
          <w:sz w:val="32"/>
          <w:szCs w:val="32"/>
          <w:lang w:val="zh-CN"/>
        </w:rPr>
      </w:pPr>
      <w:r>
        <w:rPr>
          <w:rFonts w:hint="default" w:ascii="Times New Roman" w:hAnsi="Times New Roman" w:eastAsia="楷体_GB2312" w:cs="Times New Roman"/>
          <w:sz w:val="32"/>
          <w:szCs w:val="32"/>
          <w:lang w:val="zh-CN"/>
        </w:rPr>
        <w:t>1．资金计划及到位。</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年9月21日，攀枝花市财政局下达</w:t>
      </w:r>
      <w:r>
        <w:rPr>
          <w:rFonts w:hint="default" w:ascii="Times New Roman" w:hAnsi="Times New Roman" w:eastAsia="仿宋_GB2312" w:cs="Times New Roman"/>
          <w:color w:val="auto"/>
          <w:sz w:val="32"/>
          <w:szCs w:val="32"/>
        </w:rPr>
        <w:t>项目经费</w:t>
      </w:r>
      <w:r>
        <w:rPr>
          <w:rFonts w:hint="default"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val="en-US" w:eastAsia="zh-CN"/>
        </w:rPr>
        <w:t>2025年2月6日下达项目经费20万元，2025年12月2日下达项目经费2万元。</w:t>
      </w:r>
      <w:r>
        <w:rPr>
          <w:rFonts w:hint="default" w:ascii="Times New Roman" w:hAnsi="Times New Roman" w:eastAsia="仿宋_GB2312" w:cs="Times New Roman"/>
          <w:color w:val="auto"/>
          <w:sz w:val="32"/>
          <w:szCs w:val="32"/>
        </w:rPr>
        <w:t>用于胜利水库</w:t>
      </w:r>
      <w:r>
        <w:rPr>
          <w:rFonts w:hint="default" w:ascii="Times New Roman" w:hAnsi="Times New Roman" w:eastAsia="仿宋_GB2312" w:cs="Times New Roman"/>
          <w:color w:val="auto"/>
          <w:sz w:val="32"/>
          <w:szCs w:val="32"/>
          <w:lang w:eastAsia="zh-CN"/>
        </w:rPr>
        <w:t>灌区计量监测视频监控及闸门自动化设施安装</w:t>
      </w:r>
      <w:r>
        <w:rPr>
          <w:rFonts w:hint="default" w:ascii="Times New Roman" w:hAnsi="Times New Roman" w:eastAsia="仿宋_GB2312" w:cs="Times New Roman"/>
          <w:color w:val="auto"/>
          <w:sz w:val="32"/>
          <w:szCs w:val="32"/>
          <w:lang w:val="en-US" w:eastAsia="zh-CN"/>
        </w:rPr>
        <w:t>工程</w:t>
      </w:r>
      <w:r>
        <w:rPr>
          <w:rFonts w:hint="default" w:ascii="Times New Roman" w:hAnsi="Times New Roman" w:eastAsia="仿宋_GB2312" w:cs="Times New Roman"/>
          <w:color w:val="auto"/>
          <w:sz w:val="32"/>
          <w:szCs w:val="32"/>
          <w:lang w:val="zh-CN"/>
        </w:rPr>
        <w:t>，</w:t>
      </w:r>
      <w:r>
        <w:rPr>
          <w:rFonts w:hint="default" w:ascii="Times New Roman" w:hAnsi="Times New Roman" w:eastAsia="仿宋_GB2312" w:cs="Times New Roman"/>
          <w:color w:val="auto"/>
          <w:sz w:val="32"/>
          <w:szCs w:val="32"/>
        </w:rPr>
        <w:t>资金到位及时。</w:t>
      </w:r>
    </w:p>
    <w:p w14:paraId="6F6AED6A">
      <w:pPr>
        <w:adjustRightInd w:val="0"/>
        <w:snapToGrid w:val="0"/>
        <w:spacing w:line="560" w:lineRule="exact"/>
        <w:ind w:firstLine="720"/>
        <w:rPr>
          <w:rFonts w:hint="default" w:ascii="Times New Roman" w:hAnsi="Times New Roman" w:eastAsia="仿宋_GB2312" w:cs="Times New Roman"/>
          <w:sz w:val="32"/>
          <w:szCs w:val="32"/>
          <w:lang w:val="zh-CN"/>
        </w:rPr>
      </w:pPr>
      <w:r>
        <w:rPr>
          <w:rFonts w:hint="default" w:ascii="Times New Roman" w:hAnsi="Times New Roman" w:eastAsia="楷体_GB2312" w:cs="Times New Roman"/>
          <w:color w:val="auto"/>
          <w:sz w:val="32"/>
          <w:szCs w:val="32"/>
          <w:lang w:val="zh-CN"/>
        </w:rPr>
        <w:t>2．资金使用。</w:t>
      </w:r>
      <w:r>
        <w:rPr>
          <w:rFonts w:hint="default" w:ascii="Times New Roman" w:hAnsi="Times New Roman" w:eastAsia="仿宋_GB2312" w:cs="Times New Roman"/>
          <w:color w:val="auto"/>
          <w:sz w:val="32"/>
          <w:szCs w:val="32"/>
          <w:lang w:val="zh-CN"/>
        </w:rPr>
        <w:t>截至评价时，胜利水库灌区计量监测视频监控及闸门自动化设施安装</w:t>
      </w:r>
      <w:r>
        <w:rPr>
          <w:rFonts w:hint="default" w:ascii="Times New Roman" w:hAnsi="Times New Roman" w:eastAsia="仿宋_GB2312" w:cs="Times New Roman"/>
          <w:color w:val="auto"/>
          <w:sz w:val="32"/>
          <w:szCs w:val="32"/>
          <w:lang w:val="en-US" w:eastAsia="zh-CN"/>
        </w:rPr>
        <w:t>工程</w:t>
      </w:r>
      <w:r>
        <w:rPr>
          <w:rFonts w:hint="default" w:ascii="Times New Roman" w:hAnsi="Times New Roman" w:eastAsia="仿宋_GB2312" w:cs="Times New Roman"/>
          <w:color w:val="auto"/>
          <w:sz w:val="32"/>
          <w:szCs w:val="32"/>
          <w:lang w:val="zh-CN"/>
        </w:rPr>
        <w:t>实际</w:t>
      </w:r>
      <w:r>
        <w:rPr>
          <w:rFonts w:hint="default" w:ascii="Times New Roman" w:hAnsi="Times New Roman" w:eastAsia="仿宋_GB2312" w:cs="Times New Roman"/>
          <w:sz w:val="32"/>
          <w:szCs w:val="32"/>
          <w:lang w:val="zh-CN"/>
        </w:rPr>
        <w:t>支出</w:t>
      </w:r>
      <w:r>
        <w:rPr>
          <w:rFonts w:hint="default" w:ascii="Times New Roman" w:hAnsi="Times New Roman" w:eastAsia="仿宋_GB2312" w:cs="Times New Roman"/>
          <w:sz w:val="32"/>
          <w:szCs w:val="32"/>
          <w:lang w:val="en-US" w:eastAsia="zh-CN"/>
        </w:rPr>
        <w:t>43.44</w:t>
      </w:r>
      <w:r>
        <w:rPr>
          <w:rFonts w:hint="default" w:ascii="Times New Roman" w:hAnsi="Times New Roman" w:eastAsia="仿宋_GB2312" w:cs="Times New Roman"/>
          <w:sz w:val="32"/>
          <w:szCs w:val="32"/>
          <w:lang w:val="zh-CN"/>
        </w:rPr>
        <w:t>万元，</w:t>
      </w:r>
      <w:r>
        <w:rPr>
          <w:rFonts w:hint="default" w:ascii="Times New Roman" w:hAnsi="Times New Roman" w:eastAsia="仿宋_GB2312" w:cs="Times New Roman"/>
          <w:sz w:val="32"/>
          <w:szCs w:val="32"/>
        </w:rPr>
        <w:t>无质保金，</w:t>
      </w:r>
      <w:r>
        <w:rPr>
          <w:rFonts w:hint="default" w:ascii="Times New Roman" w:hAnsi="Times New Roman" w:eastAsia="仿宋_GB2312" w:cs="Times New Roman"/>
          <w:sz w:val="32"/>
          <w:szCs w:val="32"/>
          <w:lang w:val="zh-CN"/>
        </w:rPr>
        <w:t>资金</w:t>
      </w:r>
      <w:r>
        <w:rPr>
          <w:rFonts w:hint="eastAsia" w:eastAsia="仿宋_GB2312" w:cs="Times New Roman"/>
          <w:sz w:val="32"/>
          <w:szCs w:val="32"/>
          <w:lang w:val="zh-CN"/>
        </w:rPr>
        <w:t>支付</w:t>
      </w:r>
      <w:r>
        <w:rPr>
          <w:rFonts w:hint="default" w:ascii="Times New Roman" w:hAnsi="Times New Roman" w:eastAsia="仿宋_GB2312" w:cs="Times New Roman"/>
          <w:sz w:val="32"/>
          <w:szCs w:val="32"/>
          <w:lang w:val="zh-CN"/>
        </w:rPr>
        <w:t>率为</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lang w:val="zh-CN"/>
        </w:rPr>
        <w:t>%。资金支付与预算相符。</w:t>
      </w:r>
    </w:p>
    <w:p w14:paraId="3623E16F">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（三）项目财务管理情况。</w:t>
      </w:r>
    </w:p>
    <w:p w14:paraId="72DCC8DD">
      <w:pPr>
        <w:adjustRightInd w:val="0"/>
        <w:snapToGrid w:val="0"/>
        <w:spacing w:line="560" w:lineRule="exact"/>
        <w:ind w:firstLine="720"/>
        <w:rPr>
          <w:rFonts w:hint="default" w:ascii="Times New Roman" w:hAnsi="Times New Roman" w:eastAsia="仿宋_GB2312" w:cs="Times New Roman"/>
          <w:color w:val="auto"/>
          <w:sz w:val="32"/>
          <w:szCs w:val="32"/>
          <w:lang w:val="zh-CN"/>
        </w:rPr>
      </w:pPr>
      <w:r>
        <w:rPr>
          <w:rFonts w:hint="default" w:ascii="Times New Roman" w:hAnsi="Times New Roman" w:eastAsia="仿宋_GB2312" w:cs="Times New Roman"/>
          <w:sz w:val="32"/>
          <w:szCs w:val="32"/>
          <w:lang w:val="zh-CN"/>
        </w:rPr>
        <w:t>胜利水库灌区计量监测视频监控及闸门自动化设施安</w:t>
      </w:r>
      <w:r>
        <w:rPr>
          <w:rFonts w:hint="default" w:ascii="Times New Roman" w:hAnsi="Times New Roman" w:eastAsia="仿宋_GB2312" w:cs="Times New Roman"/>
          <w:color w:val="auto"/>
          <w:sz w:val="32"/>
          <w:szCs w:val="32"/>
          <w:lang w:val="zh-CN"/>
        </w:rPr>
        <w:t>装</w:t>
      </w:r>
      <w:r>
        <w:rPr>
          <w:rFonts w:hint="default" w:ascii="Times New Roman" w:hAnsi="Times New Roman" w:eastAsia="仿宋_GB2312" w:cs="Times New Roman"/>
          <w:color w:val="auto"/>
          <w:sz w:val="32"/>
          <w:szCs w:val="32"/>
          <w:lang w:val="en-US" w:eastAsia="zh-CN"/>
        </w:rPr>
        <w:t>工程</w:t>
      </w:r>
      <w:r>
        <w:rPr>
          <w:rFonts w:hint="default" w:ascii="Times New Roman" w:hAnsi="Times New Roman" w:eastAsia="仿宋_GB2312" w:cs="Times New Roman"/>
          <w:color w:val="auto"/>
          <w:kern w:val="0"/>
          <w:sz w:val="32"/>
          <w:szCs w:val="32"/>
        </w:rPr>
        <w:t>资金管理严格遵守相关法律法规，严格执行财务管理制度，对项目专项资金实行单独核算、专款专用的原则，无专项资金被挤占、截留和挪用现象</w:t>
      </w:r>
      <w:r>
        <w:rPr>
          <w:rFonts w:hint="default" w:ascii="Times New Roman" w:hAnsi="Times New Roman" w:eastAsia="仿宋_GB2312" w:cs="Times New Roman"/>
          <w:color w:val="auto"/>
          <w:sz w:val="32"/>
          <w:szCs w:val="32"/>
          <w:lang w:val="zh-CN"/>
        </w:rPr>
        <w:t>。</w:t>
      </w:r>
    </w:p>
    <w:p w14:paraId="29804BFB">
      <w:pPr>
        <w:adjustRightInd w:val="0"/>
        <w:snapToGrid w:val="0"/>
        <w:spacing w:line="600" w:lineRule="exact"/>
        <w:ind w:firstLine="720"/>
        <w:rPr>
          <w:rFonts w:ascii="Times New Roman" w:hAnsi="Times New Roman" w:eastAsia="仿宋_GB2312" w:cs="Times New Roman"/>
          <w:sz w:val="32"/>
          <w:szCs w:val="32"/>
          <w:lang w:val="zh-CN"/>
        </w:rPr>
      </w:pPr>
      <w:r>
        <w:rPr>
          <w:rFonts w:ascii="Times New Roman" w:hAnsi="Times New Roman" w:eastAsia="黑体" w:cs="Times New Roman"/>
          <w:sz w:val="32"/>
          <w:szCs w:val="32"/>
        </w:rPr>
        <w:t>三、项目实施及管理情况</w:t>
      </w:r>
    </w:p>
    <w:p w14:paraId="52A5496D">
      <w:pPr>
        <w:adjustRightInd w:val="0"/>
        <w:snapToGrid w:val="0"/>
        <w:spacing w:line="56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（一）项目组织架构及实施流程。</w:t>
      </w:r>
    </w:p>
    <w:p w14:paraId="28406A8E">
      <w:pPr>
        <w:adjustRightInd w:val="0"/>
        <w:snapToGrid w:val="0"/>
        <w:spacing w:line="560" w:lineRule="exact"/>
        <w:ind w:firstLine="720"/>
        <w:rPr>
          <w:rFonts w:ascii="Times New Roman" w:hAnsi="Times New Roman" w:eastAsia="楷体_GB2312" w:cs="Times New Roman"/>
          <w:b/>
          <w:sz w:val="32"/>
          <w:szCs w:val="32"/>
          <w:lang w:val="zh-CN"/>
        </w:rPr>
      </w:pPr>
      <w:r>
        <w:rPr>
          <w:rFonts w:hint="default" w:ascii="Times New Roman" w:hAnsi="Times New Roman" w:eastAsia="仿宋_GB2312" w:cs="Times New Roman"/>
          <w:color w:val="auto"/>
          <w:sz w:val="32"/>
          <w:szCs w:val="32"/>
          <w:lang w:val="zh-CN"/>
        </w:rPr>
        <w:t>胜利水库灌区计量监测视频监控及闸门自动化设施安装</w:t>
      </w:r>
      <w:r>
        <w:rPr>
          <w:rFonts w:hint="default" w:ascii="Times New Roman" w:hAnsi="Times New Roman" w:eastAsia="仿宋_GB2312" w:cs="Times New Roman"/>
          <w:color w:val="auto"/>
          <w:sz w:val="32"/>
          <w:szCs w:val="32"/>
          <w:lang w:val="en-US" w:eastAsia="zh-CN"/>
        </w:rPr>
        <w:t>工程</w:t>
      </w:r>
      <w:r>
        <w:rPr>
          <w:rFonts w:hint="default" w:ascii="Times New Roman" w:hAnsi="Times New Roman" w:eastAsia="仿宋_GB2312" w:cs="Times New Roman"/>
          <w:color w:val="auto"/>
          <w:kern w:val="0"/>
          <w:sz w:val="32"/>
          <w:szCs w:val="32"/>
        </w:rPr>
        <w:t>由</w:t>
      </w:r>
      <w:r>
        <w:rPr>
          <w:rFonts w:hint="default" w:ascii="Times New Roman" w:hAnsi="Times New Roman" w:eastAsia="仿宋_GB2312" w:cs="Times New Roman"/>
          <w:color w:val="auto"/>
          <w:kern w:val="0"/>
          <w:sz w:val="32"/>
          <w:szCs w:val="32"/>
          <w:lang w:val="en-US" w:eastAsia="zh-CN"/>
        </w:rPr>
        <w:t>相关科</w:t>
      </w:r>
      <w:r>
        <w:rPr>
          <w:rFonts w:hint="default" w:ascii="Times New Roman" w:hAnsi="Times New Roman" w:eastAsia="仿宋_GB2312" w:cs="Times New Roman"/>
          <w:kern w:val="0"/>
          <w:sz w:val="32"/>
          <w:szCs w:val="32"/>
          <w:lang w:val="en-US" w:eastAsia="zh-CN"/>
        </w:rPr>
        <w:t>室提出规划</w:t>
      </w:r>
      <w:r>
        <w:rPr>
          <w:rFonts w:hint="default" w:ascii="Times New Roman" w:hAnsi="Times New Roman" w:eastAsia="仿宋_GB2312" w:cs="Times New Roman"/>
          <w:kern w:val="0"/>
          <w:sz w:val="32"/>
          <w:szCs w:val="32"/>
        </w:rPr>
        <w:t>，由中心主任办公会讨论决定实施。</w:t>
      </w:r>
    </w:p>
    <w:p w14:paraId="7DFD69DA">
      <w:pPr>
        <w:numPr>
          <w:ilvl w:val="0"/>
          <w:numId w:val="5"/>
        </w:numPr>
        <w:adjustRightInd w:val="0"/>
        <w:snapToGrid w:val="0"/>
        <w:spacing w:line="560" w:lineRule="exact"/>
        <w:ind w:left="0" w:leftChars="0" w:firstLine="321" w:firstLineChars="1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项目管理情况。</w:t>
      </w:r>
    </w:p>
    <w:p w14:paraId="29CEF752">
      <w:pPr>
        <w:numPr>
          <w:ilvl w:val="0"/>
          <w:numId w:val="0"/>
        </w:numPr>
        <w:adjustRightInd w:val="0"/>
        <w:snapToGrid w:val="0"/>
        <w:spacing w:line="560" w:lineRule="exact"/>
        <w:ind w:firstLine="640" w:firstLineChars="200"/>
        <w:rPr>
          <w:rFonts w:ascii="Times New Roman" w:hAnsi="Times New Roman" w:eastAsia="仿宋_GB2312" w:cs="Times New Roman"/>
          <w:sz w:val="32"/>
          <w:szCs w:val="32"/>
          <w:lang w:val="zh-CN"/>
        </w:rPr>
      </w:pPr>
      <w:r>
        <w:rPr>
          <w:rFonts w:hint="default" w:ascii="Times New Roman" w:hAnsi="Times New Roman" w:eastAsia="仿宋_GB2312" w:cs="Times New Roman"/>
          <w:kern w:val="0"/>
          <w:sz w:val="32"/>
          <w:szCs w:val="32"/>
        </w:rPr>
        <w:t>项目采取公开比选方式确定</w:t>
      </w:r>
      <w:r>
        <w:rPr>
          <w:rFonts w:hint="default" w:ascii="Times New Roman" w:hAnsi="Times New Roman" w:eastAsia="仿宋_GB2312" w:cs="Times New Roman"/>
          <w:kern w:val="0"/>
          <w:sz w:val="32"/>
          <w:szCs w:val="32"/>
          <w:lang w:val="en-US" w:eastAsia="zh-CN"/>
        </w:rPr>
        <w:t>项目施工</w:t>
      </w:r>
      <w:r>
        <w:rPr>
          <w:rFonts w:hint="default" w:ascii="Times New Roman" w:hAnsi="Times New Roman" w:eastAsia="仿宋_GB2312" w:cs="Times New Roman"/>
          <w:kern w:val="0"/>
          <w:sz w:val="32"/>
          <w:szCs w:val="32"/>
        </w:rPr>
        <w:t>单位，在比选、公示、建设、验收等各个环节，严格按照《</w:t>
      </w:r>
      <w:r>
        <w:rPr>
          <w:rFonts w:hint="default" w:ascii="Times New Roman" w:hAnsi="Times New Roman" w:eastAsia="仿宋_GB2312" w:cs="Times New Roman"/>
          <w:kern w:val="0"/>
          <w:sz w:val="32"/>
          <w:szCs w:val="32"/>
          <w:lang w:val="en-US" w:eastAsia="zh-CN"/>
        </w:rPr>
        <w:t>政府采购法</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color w:val="auto"/>
          <w:kern w:val="0"/>
          <w:sz w:val="32"/>
          <w:szCs w:val="32"/>
          <w:lang w:val="en-US" w:eastAsia="zh-CN"/>
        </w:rPr>
        <w:t>水利</w:t>
      </w:r>
      <w:r>
        <w:rPr>
          <w:rFonts w:hint="default" w:ascii="Times New Roman" w:hAnsi="Times New Roman" w:eastAsia="仿宋_GB2312" w:cs="Times New Roman"/>
          <w:color w:val="auto"/>
          <w:kern w:val="0"/>
          <w:sz w:val="32"/>
          <w:szCs w:val="32"/>
        </w:rPr>
        <w:t>工程项目</w:t>
      </w:r>
      <w:r>
        <w:rPr>
          <w:rFonts w:hint="default" w:ascii="Times New Roman" w:hAnsi="Times New Roman" w:eastAsia="仿宋_GB2312" w:cs="Times New Roman"/>
          <w:color w:val="auto"/>
          <w:kern w:val="0"/>
          <w:sz w:val="32"/>
          <w:szCs w:val="32"/>
          <w:lang w:val="en-US" w:eastAsia="zh-CN"/>
        </w:rPr>
        <w:t>建设</w:t>
      </w:r>
      <w:r>
        <w:rPr>
          <w:rFonts w:hint="default" w:ascii="Times New Roman" w:hAnsi="Times New Roman" w:eastAsia="仿宋_GB2312" w:cs="Times New Roman"/>
          <w:color w:val="auto"/>
          <w:kern w:val="0"/>
          <w:sz w:val="32"/>
          <w:szCs w:val="32"/>
        </w:rPr>
        <w:t>管理制度》执行。</w:t>
      </w:r>
    </w:p>
    <w:p w14:paraId="79A6BA4C">
      <w:pPr>
        <w:numPr>
          <w:ilvl w:val="0"/>
          <w:numId w:val="5"/>
        </w:numPr>
        <w:adjustRightInd w:val="0"/>
        <w:snapToGrid w:val="0"/>
        <w:spacing w:line="600" w:lineRule="exact"/>
        <w:ind w:left="0" w:leftChars="0" w:firstLine="321" w:firstLineChars="100"/>
        <w:rPr>
          <w:rFonts w:hint="default" w:ascii="Times New Roman" w:hAnsi="Times New Roman" w:eastAsia="仿宋_GB2312" w:cs="Times New Roman"/>
          <w:kern w:val="0"/>
          <w:sz w:val="32"/>
          <w:szCs w:val="32"/>
        </w:rPr>
      </w:pPr>
      <w:r>
        <w:rPr>
          <w:rFonts w:ascii="Times New Roman" w:hAnsi="Times New Roman" w:eastAsia="楷体_GB2312" w:cs="Times New Roman"/>
          <w:b/>
          <w:sz w:val="32"/>
          <w:szCs w:val="32"/>
          <w:lang w:val="zh-CN"/>
        </w:rPr>
        <w:t>项目监管情况。</w:t>
      </w:r>
    </w:p>
    <w:p w14:paraId="3666395C">
      <w:pPr>
        <w:numPr>
          <w:ilvl w:val="0"/>
          <w:numId w:val="0"/>
        </w:numPr>
        <w:adjustRightInd w:val="0"/>
        <w:snapToGrid w:val="0"/>
        <w:spacing w:line="60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市水利局对该项目</w:t>
      </w:r>
      <w:r>
        <w:rPr>
          <w:rFonts w:hint="default" w:ascii="Times New Roman" w:hAnsi="Times New Roman" w:eastAsia="仿宋_GB2312" w:cs="Times New Roman"/>
          <w:kern w:val="0"/>
          <w:sz w:val="32"/>
          <w:szCs w:val="32"/>
        </w:rPr>
        <w:t>事前、事中、事后全程监管。</w:t>
      </w:r>
    </w:p>
    <w:p w14:paraId="58B8B082">
      <w:pPr>
        <w:adjustRightInd w:val="0"/>
        <w:snapToGrid w:val="0"/>
        <w:spacing w:line="600" w:lineRule="exact"/>
        <w:ind w:firstLine="720"/>
        <w:rPr>
          <w:rFonts w:ascii="Times New Roman" w:hAnsi="Times New Roman" w:eastAsia="仿宋_GB2312" w:cs="Times New Roman"/>
          <w:sz w:val="32"/>
          <w:szCs w:val="32"/>
          <w:lang w:val="zh-CN"/>
        </w:rPr>
      </w:pPr>
      <w:r>
        <w:rPr>
          <w:rFonts w:ascii="Times New Roman" w:hAnsi="Times New Roman" w:eastAsia="黑体" w:cs="Times New Roman"/>
          <w:sz w:val="32"/>
          <w:szCs w:val="32"/>
        </w:rPr>
        <w:t>四、项目绩效情况</w:t>
      </w:r>
      <w:r>
        <w:rPr>
          <w:rFonts w:ascii="Times New Roman" w:hAnsi="Times New Roman" w:eastAsia="仿宋_GB2312" w:cs="Times New Roman"/>
          <w:sz w:val="32"/>
          <w:szCs w:val="32"/>
          <w:lang w:val="zh-CN"/>
        </w:rPr>
        <w:tab/>
      </w:r>
    </w:p>
    <w:p w14:paraId="05623556">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（一）项目完成情况。</w:t>
      </w:r>
    </w:p>
    <w:p w14:paraId="753FB4BF">
      <w:pPr>
        <w:adjustRightInd w:val="0"/>
        <w:snapToGrid w:val="0"/>
        <w:spacing w:line="560" w:lineRule="exact"/>
        <w:ind w:firstLine="72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rPr>
        <w:t>胜利水库灌区计量监测视频监控及闸门自动化设施安装</w:t>
      </w:r>
      <w:r>
        <w:rPr>
          <w:rFonts w:hint="default" w:ascii="Times New Roman" w:hAnsi="Times New Roman" w:eastAsia="仿宋_GB2312" w:cs="Times New Roman"/>
          <w:sz w:val="32"/>
          <w:szCs w:val="32"/>
        </w:rPr>
        <w:t>项目已完成所有工程内容，该项目已经</w:t>
      </w:r>
      <w:r>
        <w:rPr>
          <w:rFonts w:hint="default" w:ascii="Times New Roman" w:hAnsi="Times New Roman" w:eastAsia="仿宋_GB2312" w:cs="Times New Roman"/>
          <w:sz w:val="32"/>
          <w:szCs w:val="32"/>
          <w:lang w:eastAsia="zh-CN"/>
        </w:rPr>
        <w:t>验收并交付使用</w:t>
      </w:r>
      <w:r>
        <w:rPr>
          <w:rFonts w:hint="eastAsia" w:ascii="Times New Roman" w:hAnsi="Times New Roman" w:eastAsia="仿宋_GB2312" w:cs="Times New Roman"/>
          <w:sz w:val="32"/>
          <w:szCs w:val="32"/>
          <w:lang w:eastAsia="zh-CN"/>
        </w:rPr>
        <w:t>。</w:t>
      </w:r>
    </w:p>
    <w:p w14:paraId="0987BC1C">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（二）项目效益情况。</w:t>
      </w:r>
    </w:p>
    <w:p w14:paraId="6FF29EC4">
      <w:pPr>
        <w:numPr>
          <w:ilvl w:val="0"/>
          <w:numId w:val="0"/>
        </w:num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1．经济效益。</w:t>
      </w:r>
      <w:r>
        <w:rPr>
          <w:rFonts w:hint="default" w:ascii="Times New Roman" w:hAnsi="Times New Roman" w:eastAsia="仿宋_GB2312" w:cs="Times New Roman"/>
          <w:sz w:val="32"/>
          <w:szCs w:val="32"/>
          <w:lang w:val="zh-CN"/>
        </w:rPr>
        <w:t>按灌区</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zh-CN"/>
        </w:rPr>
        <w:t>个片区划定</w:t>
      </w:r>
      <w:r>
        <w:rPr>
          <w:rFonts w:hint="default" w:ascii="Times New Roman" w:hAnsi="Times New Roman" w:eastAsia="仿宋_GB2312" w:cs="Times New Roman"/>
          <w:sz w:val="32"/>
          <w:szCs w:val="32"/>
          <w:lang w:val="en-US" w:eastAsia="zh-CN"/>
        </w:rPr>
        <w:t>9处流量计量和</w:t>
      </w:r>
      <w:r>
        <w:rPr>
          <w:rFonts w:hint="eastAsia" w:eastAsia="仿宋_GB2312" w:cs="Times New Roman"/>
          <w:sz w:val="32"/>
          <w:szCs w:val="32"/>
          <w:lang w:val="en-US" w:eastAsia="zh-CN"/>
        </w:rPr>
        <w:t>视频</w:t>
      </w:r>
      <w:r>
        <w:rPr>
          <w:rFonts w:hint="default" w:ascii="Times New Roman" w:hAnsi="Times New Roman" w:eastAsia="仿宋_GB2312" w:cs="Times New Roman"/>
          <w:sz w:val="32"/>
          <w:szCs w:val="32"/>
          <w:lang w:val="en-US" w:eastAsia="zh-CN"/>
        </w:rPr>
        <w:t>监测安装</w:t>
      </w:r>
      <w:r>
        <w:rPr>
          <w:rFonts w:hint="default" w:ascii="Times New Roman" w:hAnsi="Times New Roman" w:eastAsia="仿宋_GB2312" w:cs="Times New Roman"/>
          <w:sz w:val="32"/>
          <w:szCs w:val="32"/>
          <w:lang w:val="zh-CN"/>
        </w:rPr>
        <w:t>。</w:t>
      </w:r>
    </w:p>
    <w:p w14:paraId="3575B80F">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2．社会效益。确保灌区水利工程安全、节约水资源、提高供水保障、促进社会稳定。</w:t>
      </w:r>
    </w:p>
    <w:p w14:paraId="66E10612">
      <w:pPr>
        <w:spacing w:line="600" w:lineRule="exact"/>
        <w:ind w:firstLine="645"/>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kern w:val="0"/>
          <w:sz w:val="32"/>
          <w:szCs w:val="32"/>
        </w:rPr>
        <w:t>3．生态效益。</w:t>
      </w:r>
      <w:r>
        <w:rPr>
          <w:rFonts w:hint="default" w:ascii="Times New Roman" w:hAnsi="Times New Roman" w:eastAsia="仿宋_GB2312" w:cs="Times New Roman"/>
          <w:sz w:val="32"/>
          <w:szCs w:val="32"/>
          <w:shd w:val="clear" w:color="auto" w:fill="FFFFFF"/>
        </w:rPr>
        <w:t>保障了灌区河流生态流量及村、社森林防灭火需水。</w:t>
      </w:r>
    </w:p>
    <w:p w14:paraId="35A95EA0">
      <w:pPr>
        <w:autoSpaceDE w:val="0"/>
        <w:autoSpaceDN w:val="0"/>
        <w:adjustRightInd w:val="0"/>
        <w:spacing w:line="600" w:lineRule="exact"/>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4．可持续效益。为国民经济持续健康发展和社会稳定提供安全保障。</w:t>
      </w:r>
    </w:p>
    <w:p w14:paraId="45331360">
      <w:pPr>
        <w:adjustRightInd w:val="0"/>
        <w:snapToGrid w:val="0"/>
        <w:spacing w:line="560" w:lineRule="exact"/>
        <w:ind w:firstLine="720"/>
        <w:rPr>
          <w:rFonts w:hint="default" w:ascii="Times New Roman" w:hAnsi="Times New Roman" w:eastAsia="楷体_GB2312" w:cs="Times New Roman"/>
          <w:b/>
          <w:sz w:val="32"/>
          <w:szCs w:val="32"/>
          <w:lang w:val="zh-CN"/>
        </w:rPr>
      </w:pPr>
      <w:r>
        <w:rPr>
          <w:rFonts w:hint="default" w:ascii="Times New Roman" w:hAnsi="Times New Roman" w:eastAsia="仿宋_GB2312" w:cs="Times New Roman"/>
          <w:kern w:val="0"/>
          <w:sz w:val="32"/>
          <w:szCs w:val="32"/>
        </w:rPr>
        <w:t>5．服务对象满意度。根据对灌区群众的调查，满意度95%以上。</w:t>
      </w:r>
    </w:p>
    <w:p w14:paraId="5CC4CBF4">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五、评价结论及建议</w:t>
      </w:r>
    </w:p>
    <w:p w14:paraId="0EEFBDBD">
      <w:pPr>
        <w:adjustRightInd w:val="0"/>
        <w:snapToGrid w:val="0"/>
        <w:spacing w:line="600" w:lineRule="exact"/>
        <w:ind w:firstLine="720"/>
        <w:rPr>
          <w:rFonts w:ascii="Times New Roman" w:hAnsi="Times New Roman" w:eastAsia="楷体_GB2312" w:cs="Times New Roman"/>
          <w:b/>
          <w:color w:val="auto"/>
          <w:sz w:val="32"/>
          <w:szCs w:val="32"/>
          <w:lang w:val="zh-CN"/>
        </w:rPr>
      </w:pPr>
      <w:r>
        <w:rPr>
          <w:rFonts w:ascii="Times New Roman" w:hAnsi="Times New Roman" w:eastAsia="楷体_GB2312" w:cs="Times New Roman"/>
          <w:b/>
          <w:color w:val="auto"/>
          <w:sz w:val="32"/>
          <w:szCs w:val="32"/>
          <w:lang w:val="zh-CN"/>
        </w:rPr>
        <w:t>（一）评价结论。</w:t>
      </w:r>
    </w:p>
    <w:p w14:paraId="5FF4BD2C">
      <w:pPr>
        <w:adjustRightInd w:val="0"/>
        <w:snapToGrid w:val="0"/>
        <w:spacing w:line="600" w:lineRule="exact"/>
        <w:ind w:firstLine="640" w:firstLineChars="200"/>
        <w:rPr>
          <w:rFonts w:ascii="Times New Roman" w:hAnsi="Times New Roman" w:eastAsia="仿宋_GB2312" w:cs="Times New Roman"/>
          <w:color w:val="C00000"/>
          <w:sz w:val="32"/>
          <w:szCs w:val="32"/>
          <w:bdr w:val="single" w:color="auto" w:sz="4" w:space="0"/>
          <w:lang w:val="zh-CN"/>
        </w:rPr>
      </w:pPr>
      <w:r>
        <w:rPr>
          <w:rFonts w:hint="default" w:ascii="Times New Roman" w:hAnsi="Times New Roman" w:eastAsia="仿宋_GB2312" w:cs="Times New Roman"/>
          <w:kern w:val="0"/>
          <w:sz w:val="32"/>
          <w:szCs w:val="32"/>
        </w:rPr>
        <w:t>通过项目实施，保障</w:t>
      </w:r>
      <w:r>
        <w:rPr>
          <w:rFonts w:hint="eastAsia" w:ascii="Times New Roman" w:hAnsi="Times New Roman" w:eastAsia="仿宋_GB2312" w:cs="Times New Roman"/>
          <w:kern w:val="0"/>
          <w:sz w:val="32"/>
          <w:szCs w:val="32"/>
          <w:lang w:val="en-US" w:eastAsia="zh-CN"/>
        </w:rPr>
        <w:t>灌区开展水权水价改革在各片区用水计量方面提供了依据，对</w:t>
      </w:r>
      <w:r>
        <w:rPr>
          <w:rFonts w:hint="default" w:ascii="Times New Roman" w:hAnsi="Times New Roman" w:eastAsia="仿宋_GB2312" w:cs="Times New Roman"/>
          <w:kern w:val="0"/>
          <w:sz w:val="32"/>
          <w:szCs w:val="32"/>
        </w:rPr>
        <w:t>促进水资源的可持续利用和保护生态环境等方面发挥了重要作用。根据对灌区群众的调查，满意度95%以上。</w:t>
      </w:r>
    </w:p>
    <w:p w14:paraId="4A7BB706">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（二）存在的问题。</w:t>
      </w:r>
    </w:p>
    <w:p w14:paraId="7F892897">
      <w:pPr>
        <w:adjustRightInd w:val="0"/>
        <w:snapToGrid w:val="0"/>
        <w:spacing w:line="600" w:lineRule="exact"/>
        <w:ind w:firstLine="640" w:firstLineChars="200"/>
        <w:rPr>
          <w:rFonts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无</w:t>
      </w:r>
      <w:r>
        <w:rPr>
          <w:rFonts w:hint="eastAsia" w:eastAsia="仿宋_GB2312" w:cs="Times New Roman"/>
          <w:sz w:val="32"/>
          <w:szCs w:val="32"/>
          <w:lang w:val="zh-CN"/>
        </w:rPr>
        <w:t>。</w:t>
      </w:r>
      <w:r>
        <w:rPr>
          <w:rFonts w:ascii="Times New Roman" w:hAnsi="Times New Roman" w:eastAsia="仿宋_GB2312" w:cs="Times New Roman"/>
          <w:sz w:val="32"/>
          <w:szCs w:val="32"/>
          <w:lang w:val="zh-CN"/>
        </w:rPr>
        <w:tab/>
      </w:r>
    </w:p>
    <w:p w14:paraId="53A65012">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（三）相关建议。</w:t>
      </w:r>
    </w:p>
    <w:p w14:paraId="65907B4B">
      <w:pPr>
        <w:adjustRightInd w:val="0"/>
        <w:snapToGrid w:val="0"/>
        <w:spacing w:line="560" w:lineRule="exact"/>
        <w:ind w:firstLine="72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下一步我中心将加强项目预算绩效目标制定的精细化程度，尽可能减少实际金额与预算金额的偏差。</w:t>
      </w:r>
    </w:p>
    <w:p w14:paraId="22D895FA">
      <w:pPr>
        <w:rPr>
          <w:rFonts w:ascii="Times New Roman" w:hAnsi="Times New Roman" w:eastAsia="仿宋_GB2312" w:cs="Times New Roman"/>
          <w:sz w:val="32"/>
          <w:szCs w:val="32"/>
        </w:rPr>
      </w:pPr>
    </w:p>
    <w:p w14:paraId="1BA02004">
      <w:pPr>
        <w:rPr>
          <w:rFonts w:ascii="Times New Roman" w:hAnsi="Times New Roman" w:eastAsia="仿宋_GB2312" w:cs="Times New Roman"/>
          <w:sz w:val="32"/>
          <w:szCs w:val="32"/>
        </w:rPr>
      </w:pPr>
    </w:p>
    <w:p w14:paraId="60827535">
      <w:pPr>
        <w:spacing w:line="578" w:lineRule="exact"/>
        <w:ind w:firstLine="640"/>
        <w:rPr>
          <w:rFonts w:eastAsia="仿宋_GB2312" w:cs="仿宋_GB2312"/>
          <w:kern w:val="0"/>
          <w:sz w:val="32"/>
          <w:szCs w:val="32"/>
        </w:rPr>
      </w:pPr>
    </w:p>
    <w:p w14:paraId="7D758E52">
      <w:pPr>
        <w:spacing w:line="578" w:lineRule="exact"/>
        <w:ind w:firstLine="640"/>
        <w:rPr>
          <w:rFonts w:eastAsia="仿宋_GB2312" w:cs="仿宋_GB2312"/>
          <w:kern w:val="0"/>
          <w:sz w:val="32"/>
          <w:szCs w:val="32"/>
        </w:rPr>
      </w:pPr>
      <w:bookmarkStart w:id="61" w:name="_Toc15396618"/>
      <w:r>
        <w:rPr>
          <w:rFonts w:hint="eastAsia" w:eastAsia="仿宋_GB2312" w:cs="仿宋_GB2312"/>
          <w:kern w:val="0"/>
          <w:sz w:val="32"/>
          <w:szCs w:val="32"/>
        </w:rPr>
        <w:br w:type="page"/>
      </w:r>
    </w:p>
    <w:p w14:paraId="07E8A668">
      <w:pPr>
        <w:widowControl/>
        <w:jc w:val="center"/>
        <w:rPr>
          <w:rFonts w:eastAsia="仿宋"/>
        </w:rPr>
      </w:pPr>
      <w:r>
        <w:rPr>
          <w:rFonts w:hint="eastAsia" w:eastAsia="黑体"/>
          <w:sz w:val="44"/>
          <w:szCs w:val="44"/>
        </w:rPr>
        <w:t>第</w:t>
      </w:r>
      <w:r>
        <w:rPr>
          <w:rStyle w:val="28"/>
          <w:rFonts w:hint="eastAsia" w:eastAsia="黑体"/>
          <w:b w:val="0"/>
        </w:rPr>
        <w:t>五部分 附表</w:t>
      </w:r>
      <w:bookmarkEnd w:id="46"/>
      <w:bookmarkEnd w:id="61"/>
      <w:bookmarkStart w:id="62" w:name="_Toc15396619"/>
    </w:p>
    <w:p w14:paraId="629B3666">
      <w:pPr>
        <w:pStyle w:val="14"/>
        <w:adjustRightInd w:val="0"/>
        <w:snapToGrid w:val="0"/>
        <w:spacing w:line="560" w:lineRule="exact"/>
        <w:jc w:val="left"/>
        <w:rPr>
          <w:rFonts w:eastAsia="仿宋_GB2312" w:cs="仿宋_GB2312"/>
          <w:sz w:val="32"/>
          <w:szCs w:val="32"/>
        </w:rPr>
      </w:pPr>
    </w:p>
    <w:p w14:paraId="52AAF7D5">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62"/>
    </w:p>
    <w:p w14:paraId="1033E2FD">
      <w:pPr>
        <w:pStyle w:val="14"/>
        <w:adjustRightInd w:val="0"/>
        <w:snapToGrid w:val="0"/>
        <w:spacing w:line="560" w:lineRule="exact"/>
        <w:jc w:val="left"/>
        <w:rPr>
          <w:rFonts w:eastAsia="仿宋_GB2312" w:cs="仿宋_GB2312"/>
          <w:sz w:val="32"/>
          <w:szCs w:val="32"/>
        </w:rPr>
      </w:pPr>
      <w:bookmarkStart w:id="63" w:name="_Toc15396620"/>
      <w:r>
        <w:rPr>
          <w:rFonts w:hint="eastAsia" w:eastAsia="仿宋_GB2312" w:cs="仿宋_GB2312"/>
          <w:sz w:val="32"/>
          <w:szCs w:val="32"/>
        </w:rPr>
        <w:t>二、收入决算表</w:t>
      </w:r>
      <w:bookmarkEnd w:id="63"/>
    </w:p>
    <w:p w14:paraId="6C3A2FFB">
      <w:pPr>
        <w:pStyle w:val="14"/>
        <w:adjustRightInd w:val="0"/>
        <w:snapToGrid w:val="0"/>
        <w:spacing w:line="560" w:lineRule="exact"/>
        <w:jc w:val="left"/>
        <w:rPr>
          <w:rFonts w:eastAsia="仿宋_GB2312" w:cs="仿宋_GB2312"/>
          <w:sz w:val="32"/>
          <w:szCs w:val="32"/>
        </w:rPr>
      </w:pPr>
      <w:bookmarkStart w:id="64" w:name="_Toc15396621"/>
      <w:r>
        <w:rPr>
          <w:rFonts w:hint="eastAsia" w:eastAsia="仿宋_GB2312" w:cs="仿宋_GB2312"/>
          <w:sz w:val="32"/>
          <w:szCs w:val="32"/>
        </w:rPr>
        <w:t>三、支出决算表</w:t>
      </w:r>
      <w:bookmarkEnd w:id="64"/>
    </w:p>
    <w:p w14:paraId="6776FEBD">
      <w:pPr>
        <w:pStyle w:val="14"/>
        <w:adjustRightInd w:val="0"/>
        <w:snapToGrid w:val="0"/>
        <w:spacing w:line="560" w:lineRule="exact"/>
        <w:jc w:val="left"/>
        <w:rPr>
          <w:rFonts w:eastAsia="仿宋_GB2312" w:cs="仿宋_GB2312"/>
          <w:sz w:val="32"/>
          <w:szCs w:val="32"/>
        </w:rPr>
      </w:pPr>
      <w:bookmarkStart w:id="65" w:name="_Toc15396622"/>
      <w:r>
        <w:rPr>
          <w:rFonts w:hint="eastAsia" w:eastAsia="仿宋_GB2312" w:cs="仿宋_GB2312"/>
          <w:sz w:val="32"/>
          <w:szCs w:val="32"/>
        </w:rPr>
        <w:t>四、财政拨款收入支出决算总表</w:t>
      </w:r>
      <w:bookmarkEnd w:id="65"/>
    </w:p>
    <w:p w14:paraId="6A4ACB89">
      <w:pPr>
        <w:pStyle w:val="14"/>
        <w:adjustRightInd w:val="0"/>
        <w:snapToGrid w:val="0"/>
        <w:spacing w:line="560" w:lineRule="exact"/>
        <w:jc w:val="left"/>
        <w:rPr>
          <w:rFonts w:eastAsia="仿宋_GB2312" w:cs="仿宋_GB2312"/>
          <w:sz w:val="32"/>
          <w:szCs w:val="32"/>
        </w:rPr>
      </w:pPr>
      <w:bookmarkStart w:id="66" w:name="_Toc15396623"/>
      <w:r>
        <w:rPr>
          <w:rFonts w:hint="eastAsia" w:eastAsia="仿宋_GB2312" w:cs="仿宋_GB2312"/>
          <w:sz w:val="32"/>
          <w:szCs w:val="32"/>
        </w:rPr>
        <w:t>五、财政拨款支出决算明细表</w:t>
      </w:r>
      <w:bookmarkEnd w:id="66"/>
      <w:bookmarkStart w:id="67" w:name="_Toc15396624"/>
    </w:p>
    <w:p w14:paraId="1B18528C">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67"/>
    </w:p>
    <w:p w14:paraId="6ED0FCE1">
      <w:pPr>
        <w:pStyle w:val="14"/>
        <w:adjustRightInd w:val="0"/>
        <w:snapToGrid w:val="0"/>
        <w:spacing w:line="560" w:lineRule="exact"/>
        <w:jc w:val="left"/>
        <w:rPr>
          <w:rFonts w:eastAsia="仿宋_GB2312" w:cs="仿宋_GB2312"/>
          <w:sz w:val="32"/>
          <w:szCs w:val="32"/>
        </w:rPr>
      </w:pPr>
      <w:bookmarkStart w:id="68" w:name="_Toc15396625"/>
      <w:r>
        <w:rPr>
          <w:rFonts w:hint="eastAsia" w:eastAsia="仿宋_GB2312" w:cs="仿宋_GB2312"/>
          <w:sz w:val="32"/>
          <w:szCs w:val="32"/>
        </w:rPr>
        <w:t>七、一般公共预算财政拨款支出决算明细表</w:t>
      </w:r>
      <w:bookmarkEnd w:id="68"/>
    </w:p>
    <w:p w14:paraId="04A4824F">
      <w:pPr>
        <w:pStyle w:val="14"/>
        <w:adjustRightInd w:val="0"/>
        <w:snapToGrid w:val="0"/>
        <w:spacing w:line="560" w:lineRule="exact"/>
        <w:jc w:val="left"/>
        <w:rPr>
          <w:rFonts w:eastAsia="仿宋_GB2312" w:cs="仿宋_GB2312"/>
          <w:sz w:val="32"/>
          <w:szCs w:val="32"/>
        </w:rPr>
      </w:pPr>
      <w:bookmarkStart w:id="69" w:name="_Toc15396626"/>
      <w:r>
        <w:rPr>
          <w:rFonts w:hint="eastAsia" w:eastAsia="仿宋_GB2312" w:cs="仿宋_GB2312"/>
          <w:sz w:val="32"/>
          <w:szCs w:val="32"/>
        </w:rPr>
        <w:t>八、一般公共预算财政拨款基本支出决算表</w:t>
      </w:r>
      <w:bookmarkEnd w:id="69"/>
    </w:p>
    <w:p w14:paraId="57CE1C8B">
      <w:pPr>
        <w:pStyle w:val="14"/>
        <w:adjustRightInd w:val="0"/>
        <w:snapToGrid w:val="0"/>
        <w:spacing w:line="560" w:lineRule="exact"/>
        <w:jc w:val="left"/>
        <w:rPr>
          <w:rFonts w:eastAsia="仿宋_GB2312" w:cs="仿宋_GB2312"/>
          <w:sz w:val="32"/>
          <w:szCs w:val="32"/>
        </w:rPr>
      </w:pPr>
      <w:bookmarkStart w:id="70" w:name="_Toc15396627"/>
      <w:r>
        <w:rPr>
          <w:rFonts w:hint="eastAsia" w:eastAsia="仿宋_GB2312" w:cs="仿宋_GB2312"/>
          <w:sz w:val="32"/>
          <w:szCs w:val="32"/>
        </w:rPr>
        <w:t>九、一般公共预算财政拨款项目支出决算表</w:t>
      </w:r>
      <w:bookmarkEnd w:id="70"/>
    </w:p>
    <w:p w14:paraId="6937B66A">
      <w:pPr>
        <w:pStyle w:val="14"/>
        <w:adjustRightInd w:val="0"/>
        <w:snapToGrid w:val="0"/>
        <w:spacing w:line="560" w:lineRule="exact"/>
        <w:jc w:val="left"/>
        <w:rPr>
          <w:rFonts w:eastAsia="仿宋_GB2312" w:cs="仿宋_GB2312"/>
          <w:sz w:val="32"/>
          <w:szCs w:val="32"/>
        </w:rPr>
      </w:pPr>
      <w:bookmarkStart w:id="71" w:name="_Toc15396628"/>
      <w:r>
        <w:rPr>
          <w:rFonts w:hint="eastAsia" w:eastAsia="仿宋_GB2312" w:cs="仿宋_GB2312"/>
          <w:sz w:val="32"/>
          <w:szCs w:val="32"/>
        </w:rPr>
        <w:t>十、</w:t>
      </w:r>
      <w:bookmarkEnd w:id="71"/>
      <w:r>
        <w:rPr>
          <w:rFonts w:hint="eastAsia" w:eastAsia="仿宋_GB2312" w:cs="仿宋_GB2312"/>
          <w:sz w:val="32"/>
          <w:szCs w:val="32"/>
        </w:rPr>
        <w:t>政府性基金预算财政拨款收入支出决算表</w:t>
      </w:r>
    </w:p>
    <w:p w14:paraId="5FFBCB22">
      <w:pPr>
        <w:pStyle w:val="14"/>
        <w:adjustRightInd w:val="0"/>
        <w:snapToGrid w:val="0"/>
        <w:spacing w:line="560" w:lineRule="exact"/>
        <w:jc w:val="left"/>
        <w:rPr>
          <w:rFonts w:eastAsia="仿宋_GB2312" w:cs="仿宋_GB2312"/>
          <w:sz w:val="32"/>
          <w:szCs w:val="32"/>
        </w:rPr>
      </w:pPr>
      <w:bookmarkStart w:id="72" w:name="_Toc15396629"/>
      <w:r>
        <w:rPr>
          <w:rFonts w:hint="eastAsia" w:eastAsia="仿宋_GB2312" w:cs="仿宋_GB2312"/>
          <w:sz w:val="32"/>
          <w:szCs w:val="32"/>
        </w:rPr>
        <w:t>十一、</w:t>
      </w:r>
      <w:bookmarkEnd w:id="72"/>
      <w:r>
        <w:rPr>
          <w:rFonts w:hint="eastAsia" w:eastAsia="仿宋_GB2312" w:cs="仿宋_GB2312"/>
          <w:sz w:val="32"/>
          <w:szCs w:val="32"/>
        </w:rPr>
        <w:t>国有资本经营预算财政拨款收入支出决算表</w:t>
      </w:r>
    </w:p>
    <w:p w14:paraId="670C6E92">
      <w:pPr>
        <w:pStyle w:val="14"/>
        <w:adjustRightInd w:val="0"/>
        <w:snapToGrid w:val="0"/>
        <w:spacing w:line="560" w:lineRule="exact"/>
        <w:jc w:val="left"/>
        <w:rPr>
          <w:rFonts w:eastAsia="仿宋_GB2312" w:cs="仿宋_GB2312"/>
          <w:sz w:val="32"/>
          <w:szCs w:val="32"/>
        </w:rPr>
      </w:pPr>
      <w:bookmarkStart w:id="73" w:name="_Toc15396630"/>
      <w:r>
        <w:rPr>
          <w:rFonts w:hint="eastAsia" w:eastAsia="仿宋_GB2312" w:cs="仿宋_GB2312"/>
          <w:sz w:val="32"/>
          <w:szCs w:val="32"/>
        </w:rPr>
        <w:t>十二、</w:t>
      </w:r>
      <w:bookmarkEnd w:id="73"/>
      <w:r>
        <w:rPr>
          <w:rFonts w:hint="eastAsia" w:eastAsia="仿宋_GB2312" w:cs="仿宋_GB2312"/>
          <w:sz w:val="32"/>
          <w:szCs w:val="32"/>
        </w:rPr>
        <w:t>国有资本经营预算财政拨款支出决算表</w:t>
      </w:r>
    </w:p>
    <w:p w14:paraId="64194913">
      <w:pPr>
        <w:pStyle w:val="14"/>
        <w:adjustRightInd w:val="0"/>
        <w:snapToGrid w:val="0"/>
        <w:spacing w:line="560" w:lineRule="exact"/>
        <w:jc w:val="left"/>
        <w:rPr>
          <w:rFonts w:eastAsia="仿宋_GB2312" w:cs="仿宋_GB2312"/>
          <w:sz w:val="32"/>
          <w:szCs w:val="32"/>
        </w:rPr>
      </w:pPr>
      <w:bookmarkStart w:id="74" w:name="_Toc15396631"/>
      <w:r>
        <w:rPr>
          <w:rFonts w:hint="eastAsia" w:eastAsia="仿宋_GB2312" w:cs="仿宋_GB2312"/>
          <w:sz w:val="32"/>
          <w:szCs w:val="32"/>
        </w:rPr>
        <w:t>十三、</w:t>
      </w:r>
      <w:bookmarkEnd w:id="74"/>
      <w:r>
        <w:rPr>
          <w:rFonts w:hint="eastAsia" w:eastAsia="仿宋_GB2312" w:cs="仿宋_GB2312"/>
          <w:sz w:val="32"/>
          <w:szCs w:val="32"/>
        </w:rPr>
        <w:t>财政拨款“三公”经费支出决算表</w:t>
      </w:r>
    </w:p>
    <w:p w14:paraId="3E6AD670"/>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Arial Unicode MS">
    <w:altName w:val="Times New Roman"/>
    <w:panose1 w:val="020B0604020202020204"/>
    <w:charset w:val="86"/>
    <w:family w:val="roman"/>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EE30B">
    <w:pPr>
      <w:pStyle w:val="10"/>
      <w:jc w:val="center"/>
    </w:pPr>
  </w:p>
  <w:p w14:paraId="06D9DEB2">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FF035">
    <w:pPr>
      <w:pStyle w:val="10"/>
      <w:jc w:val="center"/>
      <w:rPr>
        <w:sz w:val="21"/>
        <w:szCs w:val="21"/>
      </w:rPr>
    </w:pPr>
    <w:r>
      <w:rPr>
        <w:sz w:val="21"/>
        <w:szCs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513493">
                          <w:pPr>
                            <w:pStyle w:val="1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9513493">
                    <w:pPr>
                      <w:pStyle w:val="1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p w14:paraId="1F773B9A">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6F9D7">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2769CA">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6C2769CA">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A57C5">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7EEC43"/>
    <w:multiLevelType w:val="singleLevel"/>
    <w:tmpl w:val="CC7EEC43"/>
    <w:lvl w:ilvl="0" w:tentative="0">
      <w:start w:val="1"/>
      <w:numFmt w:val="chineseCounting"/>
      <w:suff w:val="nothing"/>
      <w:lvlText w:val="%1、"/>
      <w:lvlJc w:val="left"/>
      <w:rPr>
        <w:rFonts w:hint="eastAsia"/>
      </w:rPr>
    </w:lvl>
  </w:abstractNum>
  <w:abstractNum w:abstractNumId="1">
    <w:nsid w:val="EFDEBB7D"/>
    <w:multiLevelType w:val="singleLevel"/>
    <w:tmpl w:val="EFDEBB7D"/>
    <w:lvl w:ilvl="0" w:tentative="0">
      <w:start w:val="2"/>
      <w:numFmt w:val="decimal"/>
      <w:suff w:val="space"/>
      <w:lvlText w:val="%1."/>
      <w:lvlJc w:val="left"/>
    </w:lvl>
  </w:abstractNum>
  <w:abstractNum w:abstractNumId="2">
    <w:nsid w:val="1FFEE903"/>
    <w:multiLevelType w:val="singleLevel"/>
    <w:tmpl w:val="1FFEE903"/>
    <w:lvl w:ilvl="0" w:tentative="0">
      <w:start w:val="2"/>
      <w:numFmt w:val="decimal"/>
      <w:suff w:val="nothing"/>
      <w:lvlText w:val="%1．"/>
      <w:lvlJc w:val="left"/>
    </w:lvl>
  </w:abstractNum>
  <w:abstractNum w:abstractNumId="3">
    <w:nsid w:val="41D7F72C"/>
    <w:multiLevelType w:val="singleLevel"/>
    <w:tmpl w:val="41D7F72C"/>
    <w:lvl w:ilvl="0" w:tentative="0">
      <w:start w:val="1"/>
      <w:numFmt w:val="chineseCounting"/>
      <w:suff w:val="nothing"/>
      <w:lvlText w:val="（%1）"/>
      <w:lvlJc w:val="left"/>
      <w:rPr>
        <w:rFonts w:hint="eastAsia"/>
      </w:rPr>
    </w:lvl>
  </w:abstractNum>
  <w:abstractNum w:abstractNumId="4">
    <w:nsid w:val="649A7841"/>
    <w:multiLevelType w:val="singleLevel"/>
    <w:tmpl w:val="649A7841"/>
    <w:lvl w:ilvl="0" w:tentative="0">
      <w:start w:val="1"/>
      <w:numFmt w:val="chineseCounting"/>
      <w:suff w:val="nothing"/>
      <w:lvlText w:val="（%1）"/>
      <w:lvlJc w:val="left"/>
      <w:rPr>
        <w:rFonts w:hint="eastAsia"/>
      </w:rPr>
    </w:lvl>
  </w:abstractNum>
  <w:abstractNum w:abstractNumId="5">
    <w:nsid w:val="6EEE2D08"/>
    <w:multiLevelType w:val="singleLevel"/>
    <w:tmpl w:val="6EEE2D08"/>
    <w:lvl w:ilvl="0" w:tentative="0">
      <w:start w:val="2"/>
      <w:numFmt w:val="decimal"/>
      <w:suff w:val="space"/>
      <w:lvlText w:val="%1."/>
      <w:lvlJc w:val="left"/>
    </w:lvl>
  </w:abstractNum>
  <w:abstractNum w:abstractNumId="6">
    <w:nsid w:val="701B4DAE"/>
    <w:multiLevelType w:val="singleLevel"/>
    <w:tmpl w:val="701B4DAE"/>
    <w:lvl w:ilvl="0" w:tentative="0">
      <w:start w:val="2"/>
      <w:numFmt w:val="chineseCounting"/>
      <w:suff w:val="nothing"/>
      <w:lvlText w:val="%1、"/>
      <w:lvlJc w:val="left"/>
      <w:rPr>
        <w:rFonts w:hint="eastAsia"/>
      </w:rPr>
    </w:lvl>
  </w:abstractNum>
  <w:abstractNum w:abstractNumId="7">
    <w:nsid w:val="775C311C"/>
    <w:multiLevelType w:val="singleLevel"/>
    <w:tmpl w:val="775C311C"/>
    <w:lvl w:ilvl="0" w:tentative="0">
      <w:start w:val="1"/>
      <w:numFmt w:val="chineseCounting"/>
      <w:suff w:val="space"/>
      <w:lvlText w:val="第%1部分"/>
      <w:lvlJc w:val="left"/>
      <w:rPr>
        <w:rFonts w:hint="eastAsia"/>
      </w:rPr>
    </w:lvl>
  </w:abstractNum>
  <w:num w:numId="1">
    <w:abstractNumId w:val="7"/>
  </w:num>
  <w:num w:numId="2">
    <w:abstractNumId w:val="0"/>
  </w:num>
  <w:num w:numId="3">
    <w:abstractNumId w:val="4"/>
  </w:num>
  <w:num w:numId="4">
    <w:abstractNumId w:val="6"/>
  </w:num>
  <w:num w:numId="5">
    <w:abstractNumId w:val="3"/>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D50BC4"/>
    <w:rsid w:val="14022904"/>
    <w:rsid w:val="152F2A07"/>
    <w:rsid w:val="165E0673"/>
    <w:rsid w:val="16BB723D"/>
    <w:rsid w:val="186504BB"/>
    <w:rsid w:val="1938089F"/>
    <w:rsid w:val="19A445FC"/>
    <w:rsid w:val="1B7D550C"/>
    <w:rsid w:val="1BE8440E"/>
    <w:rsid w:val="1D155CEE"/>
    <w:rsid w:val="1E740ACF"/>
    <w:rsid w:val="1FF35744"/>
    <w:rsid w:val="1FF6BC77"/>
    <w:rsid w:val="21962A9E"/>
    <w:rsid w:val="21AE7C77"/>
    <w:rsid w:val="22BC3C41"/>
    <w:rsid w:val="23860B96"/>
    <w:rsid w:val="240371BF"/>
    <w:rsid w:val="260F557C"/>
    <w:rsid w:val="281408E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6DA82B"/>
    <w:rsid w:val="3FF4CAE0"/>
    <w:rsid w:val="3FF7B227"/>
    <w:rsid w:val="40E54C45"/>
    <w:rsid w:val="43A407DF"/>
    <w:rsid w:val="44515BEA"/>
    <w:rsid w:val="44E268DA"/>
    <w:rsid w:val="453F7E5B"/>
    <w:rsid w:val="486A6C7A"/>
    <w:rsid w:val="48AFB4BA"/>
    <w:rsid w:val="49176D9B"/>
    <w:rsid w:val="4A627F82"/>
    <w:rsid w:val="4B0E749A"/>
    <w:rsid w:val="4B4F25DA"/>
    <w:rsid w:val="4BDA0CFB"/>
    <w:rsid w:val="4BE068DB"/>
    <w:rsid w:val="4BFEB8AD"/>
    <w:rsid w:val="4D3C0CCC"/>
    <w:rsid w:val="4D577224"/>
    <w:rsid w:val="4DBF1CEB"/>
    <w:rsid w:val="4EAB630A"/>
    <w:rsid w:val="4ECE2238"/>
    <w:rsid w:val="4EF75308"/>
    <w:rsid w:val="4F833267"/>
    <w:rsid w:val="4FE9BD67"/>
    <w:rsid w:val="4FFB052F"/>
    <w:rsid w:val="5097769F"/>
    <w:rsid w:val="53083A92"/>
    <w:rsid w:val="537E6D0A"/>
    <w:rsid w:val="53AF27A2"/>
    <w:rsid w:val="53F74C96"/>
    <w:rsid w:val="557F3FD7"/>
    <w:rsid w:val="56E47B74"/>
    <w:rsid w:val="57BD3DD4"/>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BBFA1E"/>
    <w:rsid w:val="6BCE6674"/>
    <w:rsid w:val="6BFF5E85"/>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DFDA674"/>
    <w:rsid w:val="7E8ADEBF"/>
    <w:rsid w:val="7E8F7650"/>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AFBF086B"/>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5D13BA"/>
    <w:rsid w:val="DF6F9789"/>
    <w:rsid w:val="DFFFA9E8"/>
    <w:rsid w:val="E5F4E9DC"/>
    <w:rsid w:val="E70FE695"/>
    <w:rsid w:val="ECFED1BC"/>
    <w:rsid w:val="ED1D69BB"/>
    <w:rsid w:val="ED37C327"/>
    <w:rsid w:val="ED7FD312"/>
    <w:rsid w:val="EF53993F"/>
    <w:rsid w:val="EF6FD633"/>
    <w:rsid w:val="EFBFB2F4"/>
    <w:rsid w:val="EFBFFA21"/>
    <w:rsid w:val="F2BEBCB8"/>
    <w:rsid w:val="F36FB518"/>
    <w:rsid w:val="F3DE1A04"/>
    <w:rsid w:val="F3F722E5"/>
    <w:rsid w:val="F7BF8415"/>
    <w:rsid w:val="FA5F1E70"/>
    <w:rsid w:val="FA5FDB97"/>
    <w:rsid w:val="FAFBB157"/>
    <w:rsid w:val="FB7F486A"/>
    <w:rsid w:val="FBFF5B2E"/>
    <w:rsid w:val="FD7FFE2B"/>
    <w:rsid w:val="FDEE196B"/>
    <w:rsid w:val="FDFE6575"/>
    <w:rsid w:val="FEDFDDC2"/>
    <w:rsid w:val="FEE7969A"/>
    <w:rsid w:val="FEED32F6"/>
    <w:rsid w:val="FEF781DD"/>
    <w:rsid w:val="FF3F7E3F"/>
    <w:rsid w:val="FFBA12D7"/>
    <w:rsid w:val="FFDFFAEE"/>
    <w:rsid w:val="FFEB70C5"/>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200" w:leftChars="200"/>
    </w:pPr>
    <w:rPr>
      <w:rFonts w:ascii="仿宋_GB2312"/>
      <w:szCs w:val="32"/>
    </w:rPr>
  </w:style>
  <w:style w:type="paragraph" w:styleId="7">
    <w:name w:val="Body Text First Indent 2"/>
    <w:basedOn w:val="6"/>
    <w:next w:val="1"/>
    <w:link w:val="35"/>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2"/>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character" w:customStyle="1" w:styleId="35">
    <w:name w:val="正文首行缩进 2 Char"/>
    <w:basedOn w:val="16"/>
    <w:link w:val="7"/>
    <w:qFormat/>
    <w:uiPriority w:val="99"/>
    <w:rPr>
      <w:rFonts w:ascii="仿宋_GB2312"/>
      <w:kern w:val="2"/>
      <w:sz w:val="21"/>
      <w:szCs w:val="32"/>
    </w:rPr>
  </w:style>
  <w:style w:type="paragraph" w:customStyle="1" w:styleId="36">
    <w:name w:val="图表目录1"/>
    <w:basedOn w:val="1"/>
    <w:next w:val="1"/>
    <w:qFormat/>
    <w:uiPriority w:val="0"/>
    <w:pPr>
      <w:suppressAutoHyphens/>
      <w:ind w:left="400" w:leftChars="200" w:hanging="200" w:hangingChars="200"/>
      <w:jc w:val="left"/>
    </w:pPr>
    <w:rPr>
      <w:rFonts w:ascii="Arial Unicode MS" w:hAnsi="Arial Unicode MS" w:eastAsia="Arial Unicode MS" w:cs="Arial Unicode MS"/>
      <w:color w:val="000000"/>
      <w:kern w:val="0"/>
      <w:sz w:val="24"/>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media/user/&#24352;&#32418;/&#20915;&#31639;&#20844;&#24320;/2024&#24180;&#20915;&#31639;&#20844;&#24320;/&#20915;&#31639;&#22270;&#34920;&#27169;&#26495;.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edia/user/&#24352;&#32418;/&#20915;&#31639;&#20844;&#24320;/2024&#24180;&#20915;&#31639;&#20844;&#24320;/&#20915;&#31639;&#22270;&#34920;&#27169;&#26495;.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edia/user/&#24352;&#32418;/&#20915;&#31639;&#20844;&#24320;/2024&#24180;&#20915;&#31639;&#20844;&#24320;/&#20915;&#31639;&#22270;&#34920;&#27169;&#26495;.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edia/user/&#24352;&#32418;/&#20915;&#31639;&#20844;&#24320;/2024&#24180;&#20915;&#31639;&#20844;&#24320;/&#20915;&#31639;&#22270;&#34920;&#27169;&#26495;.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edia/user/&#24352;&#32418;/&#20915;&#31639;&#20844;&#24320;/2024&#24180;&#20915;&#31639;&#20844;&#24320;/&#20915;&#31639;&#22270;&#34920;&#27169;&#26495;.xls" TargetMode="External"/></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media/user/&#24352;&#32418;/&#20915;&#31639;&#20844;&#24320;/2024&#24180;&#20915;&#31639;&#20844;&#24320;/&#20915;&#31639;&#22270;&#34920;&#27169;&#26495;.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edia/user/&#24352;&#32418;/&#20915;&#31639;&#20844;&#24320;/2024&#24180;&#20915;&#31639;&#20844;&#24320;/&#20915;&#31639;&#22270;&#34920;&#27169;&#2649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1" i="0" u="none" strike="noStrike" baseline="0">
                <a:solidFill>
                  <a:srgbClr val="333333"/>
                </a:solidFill>
                <a:latin typeface="宋体" panose="02010600030101010101" charset="-122"/>
                <a:ea typeface="宋体" panose="02010600030101010101" charset="-122"/>
                <a:cs typeface="宋体" panose="02010600030101010101" charset="-122"/>
              </a:rPr>
              <a:t>收支总计变动图</a:t>
            </a:r>
            <a:endParaRPr sz="14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366721014492754"/>
          <c:y val="0.0430080816110228"/>
        </c:manualLayout>
      </c:layout>
      <c:overlay val="0"/>
      <c:spPr>
        <a:noFill/>
        <a:ln>
          <a:noFill/>
        </a:ln>
        <a:effectLst/>
      </c:spPr>
    </c:title>
    <c:autoTitleDeleted val="0"/>
    <c:plotArea>
      <c:layout/>
      <c:barChart>
        <c:barDir val="col"/>
        <c:grouping val="clustered"/>
        <c:varyColors val="0"/>
        <c:ser>
          <c:idx val="0"/>
          <c:order val="0"/>
          <c:tx>
            <c:strRef>
              <c:f>'[决算图表模板.xls]2022年收支总计'!$B$1</c:f>
              <c:strCache>
                <c:ptCount val="1"/>
                <c:pt idx="0">
                  <c:v>收支</c:v>
                </c:pt>
              </c:strCache>
            </c:strRef>
          </c:tx>
          <c:spPr>
            <a:solidFill>
              <a:schemeClr val="accent1"/>
            </a:solidFill>
            <a:ln>
              <a:noFill/>
            </a:ln>
            <a:effectLst/>
          </c:spPr>
          <c:invertIfNegative val="0"/>
          <c:dPt>
            <c:idx val="0"/>
            <c:invertIfNegative val="0"/>
            <c:bubble3D val="0"/>
            <c:explosion val="0"/>
            <c:spPr>
              <a:solidFill>
                <a:schemeClr val="accent1"/>
              </a:solidFill>
              <a:ln>
                <a:noFill/>
              </a:ln>
              <a:effectLst/>
            </c:spPr>
          </c:dPt>
          <c:dPt>
            <c:idx val="1"/>
            <c:invertIfNegative val="0"/>
            <c:bubble3D val="0"/>
            <c:explosion val="0"/>
            <c:spPr>
              <a:solidFill>
                <a:srgbClr val="F739DA"/>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'[决算图表模板.xls]2022年收支总计'!$A$2:$A$3</c:f>
              <c:strCache>
                <c:ptCount val="2"/>
                <c:pt idx="0">
                  <c:v>2024年度</c:v>
                </c:pt>
                <c:pt idx="1">
                  <c:v>2025年度</c:v>
                </c:pt>
              </c:strCache>
            </c:strRef>
          </c:cat>
          <c:val>
            <c:numRef>
              <c:f>'[决算图表模板.xls]2022年收支总计'!$B$2:$B$3</c:f>
              <c:numCache>
                <c:formatCode>0.00_ </c:formatCode>
                <c:ptCount val="2"/>
                <c:pt idx="0">
                  <c:v>6956.02</c:v>
                </c:pt>
                <c:pt idx="1">
                  <c:v>755.5</c:v>
                </c:pt>
              </c:numCache>
            </c:numRef>
          </c:val>
        </c:ser>
        <c:dLbls>
          <c:showLegendKey val="0"/>
          <c:showVal val="0"/>
          <c:showCatName val="0"/>
          <c:showSerName val="0"/>
          <c:showPercent val="0"/>
          <c:showBubbleSize val="0"/>
        </c:dLbls>
        <c:gapWidth val="219"/>
        <c:overlap val="0"/>
        <c:axId val="761187844"/>
        <c:axId val="345926552"/>
      </c:barChart>
      <c:catAx>
        <c:axId val="76118784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5926552"/>
        <c:crosses val="autoZero"/>
        <c:auto val="1"/>
        <c:lblAlgn val="ctr"/>
        <c:lblOffset val="100"/>
        <c:noMultiLvlLbl val="0"/>
      </c:catAx>
      <c:valAx>
        <c:axId val="34592655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_ "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1187844"/>
        <c:crosses val="autoZero"/>
        <c:crossBetween val="between"/>
      </c:valAx>
      <c:spPr>
        <a:noFill/>
        <a:ln>
          <a:noFill/>
        </a:ln>
        <a:effectLst/>
      </c:spPr>
    </c:plotArea>
    <c:plotVisOnly val="1"/>
    <c:dispBlanksAs val="gap"/>
    <c:showDLblsOverMax val="0"/>
    <c:extLst>
      <c:ext uri="{0b15fc19-7d7d-44ad-8c2d-2c3a37ce22c3}">
        <chartProps xmlns="https://web.wps.cn/et/2018/main" chartId="{0d7e7978-ec31-438a-86fc-3889997f1344}"/>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sz="1400" b="0" i="0" u="none" strike="noStrike" kern="1200" spc="0" baseline="0">
                <a:solidFill>
                  <a:srgbClr val="333333"/>
                </a:solidFill>
                <a:latin typeface="宋体" panose="02010600030101010101" charset="-122"/>
                <a:ea typeface="宋体" panose="02010600030101010101" charset="-122"/>
                <a:cs typeface="宋体" panose="02010600030101010101" charset="-122"/>
              </a:rPr>
              <a:t>收入决算结构图</a:t>
            </a:r>
            <a:endParaRPr altLang="en-US" sz="1200" b="0" i="0" u="none" strike="noStrike" kern="1200" spc="0"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gradFill>
                <a:gsLst>
                  <a:gs pos="0">
                    <a:srgbClr val="FBFB11"/>
                  </a:gs>
                  <a:gs pos="100000">
                    <a:srgbClr val="838309"/>
                  </a:gs>
                </a:gsLst>
                <a:lin ang="5400000" scaled="0"/>
              </a:gradFill>
              <a:ln w="19050">
                <a:solidFill>
                  <a:schemeClr val="lt1"/>
                </a:solidFill>
              </a:ln>
              <a:effectLst/>
            </c:spPr>
          </c:dPt>
          <c:dLbls>
            <c:dLbl>
              <c:idx val="1"/>
              <c:layout>
                <c:manualLayout>
                  <c:x val="-0.0157561377517133"/>
                  <c:y val="0.0407555959884629"/>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429050915927672"/>
                  <c:y val="0.022527744702936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[决算图表模板.xls]本年收入!$A$2:$A$4</c:f>
              <c:strCache>
                <c:ptCount val="3"/>
                <c:pt idx="0">
                  <c:v>一般公共预算财政拨款收入</c:v>
                </c:pt>
                <c:pt idx="1">
                  <c:v>政府性基金预算财政拨款收入</c:v>
                </c:pt>
              </c:strCache>
            </c:strRef>
          </c:cat>
          <c:val>
            <c:numRef>
              <c:f>[决算图表模板.xls]本年收入!$B$2:$B$4</c:f>
              <c:numCache>
                <c:formatCode>General</c:formatCode>
                <c:ptCount val="3"/>
                <c:pt idx="0">
                  <c:v>725.54</c:v>
                </c:pt>
                <c:pt idx="1">
                  <c:v>29.96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01138b5-24a2-4a6f-a497-b53c803e68a4}"/>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sz="1400" b="0" i="0" u="none" strike="noStrike" kern="1200" spc="0" baseline="0">
                <a:solidFill>
                  <a:srgbClr val="333333"/>
                </a:solidFill>
                <a:latin typeface="宋体" panose="02010600030101010101" charset="-122"/>
                <a:ea typeface="宋体" panose="02010600030101010101" charset="-122"/>
                <a:cs typeface="宋体" panose="02010600030101010101" charset="-122"/>
              </a:rPr>
              <a:t>支出决算结构图</a:t>
            </a:r>
            <a:endParaRPr altLang="en-US" sz="1200" b="0" i="0" u="none" strike="noStrike" kern="1200" spc="0"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gradFill>
                <a:gsLst>
                  <a:gs pos="0">
                    <a:srgbClr val="FBFB11"/>
                  </a:gs>
                  <a:gs pos="100000">
                    <a:srgbClr val="838309"/>
                  </a:gs>
                </a:gsLst>
                <a:lin ang="5400000" scaled="0"/>
              </a:gradFill>
              <a:ln w="19050">
                <a:solidFill>
                  <a:schemeClr val="lt1"/>
                </a:solidFill>
              </a:ln>
              <a:effectLst/>
            </c:spPr>
          </c:dPt>
          <c:dLbls>
            <c:dLbl>
              <c:idx val="1"/>
              <c:layout>
                <c:manualLayout>
                  <c:x val="-0.0157561377517133"/>
                  <c:y val="0.0407555959884629"/>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429050915927672"/>
                  <c:y val="0.022527744702936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[决算图表模板.xls]本年收入!$A$2:$A$4</c:f>
              <c:strCache>
                <c:ptCount val="3"/>
                <c:pt idx="0">
                  <c:v>基本支出</c:v>
                </c:pt>
                <c:pt idx="1">
                  <c:v>项目支出</c:v>
                </c:pt>
              </c:strCache>
            </c:strRef>
          </c:cat>
          <c:val>
            <c:numRef>
              <c:f>[决算图表模板.xls]本年收入!$B$2:$B$4</c:f>
              <c:numCache>
                <c:formatCode>General</c:formatCode>
                <c:ptCount val="3"/>
                <c:pt idx="0">
                  <c:v>548.09</c:v>
                </c:pt>
                <c:pt idx="1">
                  <c:v>207.41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32067a4-865a-46ed-8165-c9e89a1c2c97}"/>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12765118317266"/>
          <c:y val="0.0573639274279616"/>
        </c:manualLayout>
      </c:layout>
      <c:overlay val="0"/>
      <c:spPr>
        <a:noFill/>
        <a:ln>
          <a:noFill/>
        </a:ln>
        <a:effectLst/>
      </c:spPr>
    </c:title>
    <c:autoTitleDeleted val="0"/>
    <c:plotArea>
      <c:layout/>
      <c:barChart>
        <c:barDir val="col"/>
        <c:grouping val="clustered"/>
        <c:varyColors val="0"/>
        <c:ser>
          <c:idx val="0"/>
          <c:order val="0"/>
          <c:tx>
            <c:strRef>
              <c:f>[决算图表模板.xls]收支总计!$B$2</c:f>
              <c:strCache>
                <c:ptCount val="1"/>
                <c:pt idx="0">
                  <c:v>2024年度财政拨款收、支决算总计</c:v>
                </c:pt>
              </c:strCache>
            </c:strRef>
          </c:tx>
          <c:spPr>
            <a:solidFill>
              <a:schemeClr val="accent1"/>
            </a:solidFill>
            <a:ln>
              <a:noFill/>
            </a:ln>
            <a:effectLst/>
          </c:spPr>
          <c:invertIfNegative val="0"/>
          <c:dPt>
            <c:idx val="1"/>
            <c:invertIfNegative val="0"/>
            <c:bubble3D val="0"/>
            <c:explosion val="0"/>
            <c:spPr>
              <a:solidFill>
                <a:srgbClr val="F739DA"/>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[决算图表模板.xls]收支总计!$A$3:$A$4</c:f>
              <c:strCache>
                <c:ptCount val="2"/>
                <c:pt idx="0">
                  <c:v>2024年度</c:v>
                </c:pt>
                <c:pt idx="1">
                  <c:v>2025年度</c:v>
                </c:pt>
              </c:strCache>
            </c:strRef>
          </c:cat>
          <c:val>
            <c:numRef>
              <c:f>[决算图表模板.xls]收支总计!$B$3:$B$4</c:f>
              <c:numCache>
                <c:formatCode>General</c:formatCode>
                <c:ptCount val="2"/>
                <c:pt idx="0">
                  <c:v>6956.02</c:v>
                </c:pt>
                <c:pt idx="1">
                  <c:v>755.5</c:v>
                </c:pt>
              </c:numCache>
            </c:numRef>
          </c:val>
        </c:ser>
        <c:dLbls>
          <c:showLegendKey val="0"/>
          <c:showVal val="0"/>
          <c:showCatName val="0"/>
          <c:showSerName val="0"/>
          <c:showPercent val="0"/>
          <c:showBubbleSize val="0"/>
        </c:dLbls>
        <c:gapWidth val="219"/>
        <c:overlap val="-27"/>
        <c:axId val="210096410"/>
        <c:axId val="761778286"/>
      </c:barChart>
      <c:catAx>
        <c:axId val="21009641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1778286"/>
        <c:crosses val="autoZero"/>
        <c:auto val="1"/>
        <c:lblAlgn val="ctr"/>
        <c:lblOffset val="100"/>
        <c:noMultiLvlLbl val="0"/>
      </c:catAx>
      <c:valAx>
        <c:axId val="76177828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0096410"/>
        <c:crosses val="autoZero"/>
        <c:crossBetween val="between"/>
      </c:valAx>
      <c:spPr>
        <a:noFill/>
        <a:ln>
          <a:noFill/>
        </a:ln>
        <a:effectLst/>
      </c:spPr>
    </c:plotArea>
    <c:plotVisOnly val="1"/>
    <c:dispBlanksAs val="gap"/>
    <c:showDLblsOverMax val="0"/>
    <c:extLst>
      <c:ext uri="{0b15fc19-7d7d-44ad-8c2d-2c3a37ce22c3}">
        <chartProps xmlns="https://web.wps.cn/et/2018/main" chartId="{3361e9ee-e8ad-4269-b8a4-2df32d7ebfb3}"/>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一般公共预算财政拨款支出变动图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23472222222222"/>
          <c:y val="0.0277777777777778"/>
        </c:manualLayout>
      </c:layout>
      <c:overlay val="0"/>
      <c:spPr>
        <a:noFill/>
        <a:ln>
          <a:noFill/>
        </a:ln>
        <a:effectLst/>
      </c:spPr>
    </c:title>
    <c:autoTitleDeleted val="0"/>
    <c:plotArea>
      <c:layout>
        <c:manualLayout>
          <c:layoutTarget val="inner"/>
          <c:xMode val="edge"/>
          <c:yMode val="edge"/>
          <c:x val="0.0727222222222222"/>
          <c:y val="0.173611111111111"/>
          <c:w val="0.894638888888889"/>
          <c:h val="0.710972222222222"/>
        </c:manualLayout>
      </c:layout>
      <c:barChart>
        <c:barDir val="col"/>
        <c:grouping val="clustered"/>
        <c:varyColors val="0"/>
        <c:ser>
          <c:idx val="0"/>
          <c:order val="0"/>
          <c:tx>
            <c:strRef>
              <c:f>[决算图表模板.xls]一般公共预算财政拨款支出总体!$B$2</c:f>
              <c:strCache>
                <c:ptCount val="1"/>
                <c:pt idx="0">
                  <c:v>2023年度一般公共预算财政拨款支出</c:v>
                </c:pt>
              </c:strCache>
            </c:strRef>
          </c:tx>
          <c:spPr>
            <a:solidFill>
              <a:schemeClr val="accent1"/>
            </a:solidFill>
            <a:ln>
              <a:noFill/>
            </a:ln>
            <a:effectLst/>
          </c:spPr>
          <c:invertIfNegative val="0"/>
          <c:dPt>
            <c:idx val="1"/>
            <c:invertIfNegative val="0"/>
            <c:bubble3D val="0"/>
            <c:explosion val="0"/>
            <c:spPr>
              <a:solidFill>
                <a:srgbClr val="F739DA"/>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[决算图表模板.xls]一般公共预算财政拨款支出总体!$A$3:$A$4</c:f>
              <c:strCache>
                <c:ptCount val="2"/>
                <c:pt idx="0">
                  <c:v>2024年</c:v>
                </c:pt>
                <c:pt idx="1">
                  <c:v>2025年</c:v>
                </c:pt>
              </c:strCache>
            </c:strRef>
          </c:cat>
          <c:val>
            <c:numRef>
              <c:f>[决算图表模板.xls]一般公共预算财政拨款支出总体!$B$3:$B$4</c:f>
              <c:numCache>
                <c:formatCode>General</c:formatCode>
                <c:ptCount val="2"/>
                <c:pt idx="0">
                  <c:v>6897.67</c:v>
                </c:pt>
                <c:pt idx="1">
                  <c:v>725.54</c:v>
                </c:pt>
              </c:numCache>
            </c:numRef>
          </c:val>
        </c:ser>
        <c:dLbls>
          <c:showLegendKey val="0"/>
          <c:showVal val="0"/>
          <c:showCatName val="0"/>
          <c:showSerName val="0"/>
          <c:showPercent val="0"/>
          <c:showBubbleSize val="0"/>
        </c:dLbls>
        <c:gapWidth val="219"/>
        <c:overlap val="-27"/>
        <c:axId val="569619618"/>
        <c:axId val="335893780"/>
      </c:barChart>
      <c:catAx>
        <c:axId val="56961961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5893780"/>
        <c:crosses val="autoZero"/>
        <c:auto val="1"/>
        <c:lblAlgn val="ctr"/>
        <c:lblOffset val="100"/>
        <c:noMultiLvlLbl val="0"/>
      </c:catAx>
      <c:valAx>
        <c:axId val="33589378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9619618"/>
        <c:crosses val="autoZero"/>
        <c:crossBetween val="between"/>
      </c:valAx>
      <c:spPr>
        <a:noFill/>
        <a:ln>
          <a:noFill/>
        </a:ln>
        <a:effectLst/>
      </c:spPr>
    </c:plotArea>
    <c:plotVisOnly val="1"/>
    <c:dispBlanksAs val="gap"/>
    <c:showDLblsOverMax val="0"/>
    <c:extLst>
      <c:ext uri="{0b15fc19-7d7d-44ad-8c2d-2c3a37ce22c3}">
        <chartProps xmlns="https://web.wps.cn/et/2018/main" chartId="{a31ef0ee-96f0-4d5a-b070-c2a466fc0234}"/>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400" b="0" i="0" u="none" strike="noStrike" kern="1200" spc="0" baseline="0">
                <a:solidFill>
                  <a:sysClr val="windowText" lastClr="000000">
                    <a:lumMod val="65000"/>
                    <a:lumOff val="35000"/>
                  </a:sys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74861111111111"/>
          <c:y val="0.0173611111111111"/>
        </c:manualLayout>
      </c:layout>
      <c:overlay val="0"/>
      <c:spPr>
        <a:noFill/>
        <a:ln>
          <a:noFill/>
        </a:ln>
        <a:effectLst/>
      </c:spPr>
    </c:title>
    <c:autoTitleDeleted val="0"/>
    <c:plotArea>
      <c:layout/>
      <c:pieChart>
        <c:varyColors val="1"/>
        <c:ser>
          <c:idx val="0"/>
          <c:order val="0"/>
          <c:explosion val="0"/>
          <c:dPt>
            <c:idx val="0"/>
            <c:bubble3D val="0"/>
            <c:explosion val="0"/>
            <c:spPr>
              <a:solidFill>
                <a:srgbClr val="5B9BD5"/>
              </a:solidFill>
              <a:ln w="19050">
                <a:solidFill>
                  <a:sysClr val="window" lastClr="FFFFFF"/>
                </a:solidFill>
              </a:ln>
              <a:effectLst/>
            </c:spPr>
          </c:dPt>
          <c:dPt>
            <c:idx val="1"/>
            <c:bubble3D val="0"/>
            <c:explosion val="0"/>
            <c:spPr>
              <a:solidFill>
                <a:srgbClr val="ED7D31"/>
              </a:solidFill>
              <a:ln w="19050">
                <a:solidFill>
                  <a:sysClr val="window" lastClr="FFFFFF"/>
                </a:solidFill>
              </a:ln>
              <a:effectLst/>
            </c:spPr>
          </c:dPt>
          <c:dPt>
            <c:idx val="2"/>
            <c:bubble3D val="0"/>
            <c:explosion val="0"/>
            <c:spPr>
              <a:solidFill>
                <a:srgbClr val="A5A5A5"/>
              </a:solidFill>
              <a:ln w="19050">
                <a:solidFill>
                  <a:sysClr val="window" lastClr="FFFFFF"/>
                </a:solidFill>
              </a:ln>
              <a:effectLst/>
            </c:spPr>
          </c:dPt>
          <c:dPt>
            <c:idx val="3"/>
            <c:bubble3D val="0"/>
            <c:explosion val="0"/>
            <c:spPr>
              <a:solidFill>
                <a:srgbClr val="FE00E3"/>
              </a:solidFill>
              <a:ln w="19050">
                <a:solidFill>
                  <a:sysClr val="window" lastClr="FFFFFF"/>
                </a:solidFill>
              </a:ln>
              <a:effectLst/>
            </c:spPr>
          </c:dPt>
          <c:dPt>
            <c:idx val="4"/>
            <c:bubble3D val="0"/>
            <c:explosion val="0"/>
          </c:dPt>
          <c:dLbls>
            <c:dLbl>
              <c:idx val="0"/>
              <c:layout>
                <c:manualLayout>
                  <c:x val="0.0017354765416844"/>
                  <c:y val="0.018834122385812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ysClr val="windowText" lastClr="000000">
                          <a:lumMod val="75000"/>
                          <a:lumOff val="25000"/>
                        </a:sys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770833333333333"/>
                  <c:y val="0.052083333333333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ysClr val="windowText" lastClr="000000">
                          <a:lumMod val="75000"/>
                          <a:lumOff val="25000"/>
                        </a:sys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ysClr val="windowText" lastClr="000000">
                        <a:lumMod val="75000"/>
                        <a:lumOff val="25000"/>
                      </a:sys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[决算图表模板.20260828180009194.xls]一般公共预算财政拨款支出结构!$A$2:$A$6</c:f>
              <c:strCache>
                <c:ptCount val="5"/>
                <c:pt idx="0">
                  <c:v>一般公共服务支出</c:v>
                </c:pt>
                <c:pt idx="1">
                  <c:v>社会保障和就业支出</c:v>
                </c:pt>
                <c:pt idx="2">
                  <c:v>住房保障支出</c:v>
                </c:pt>
                <c:pt idx="3">
                  <c:v>卫生健康支出</c:v>
                </c:pt>
                <c:pt idx="4">
                  <c:v>农林水支出</c:v>
                </c:pt>
              </c:strCache>
            </c:strRef>
          </c:cat>
          <c:val>
            <c:numRef>
              <c:f>[决算图表模板.xls]一般公共预算财政拨款支出结构!$B$2:$B$6</c:f>
              <c:numCache>
                <c:formatCode>General</c:formatCode>
                <c:ptCount val="5"/>
                <c:pt idx="0">
                  <c:v>2.45</c:v>
                </c:pt>
                <c:pt idx="1">
                  <c:v>61.3</c:v>
                </c:pt>
                <c:pt idx="2">
                  <c:v>38.39</c:v>
                </c:pt>
                <c:pt idx="3">
                  <c:v>31.22</c:v>
                </c:pt>
                <c:pt idx="4">
                  <c:v>495.28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extLst>
      <c:ext uri="{0b15fc19-7d7d-44ad-8c2d-2c3a37ce22c3}">
        <chartProps xmlns="https://web.wps.cn/et/2018/main" chartId="{806dfae9-28f2-436b-b26e-e22246ba0970}"/>
      </c:ext>
    </c:extLst>
  </c:chart>
  <c:spPr>
    <a:solidFill>
      <a:sysClr val="window" lastClr="FFFFFF"/>
    </a:solidFill>
    <a:ln w="9525" cap="flat" cmpd="sng" algn="ctr">
      <a:solidFill>
        <a:sysClr val="windowText" lastClr="000000">
          <a:lumMod val="15000"/>
          <a:lumOff val="85000"/>
        </a:sys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200" b="0" i="0" u="none" strike="noStrike" baseline="0">
                <a:solidFill>
                  <a:srgbClr val="000000"/>
                </a:solidFill>
                <a:latin typeface="宋体" panose="02010600030101010101" charset="-122"/>
                <a:ea typeface="宋体" panose="02010600030101010101" charset="-122"/>
                <a:cs typeface="宋体" panose="02010600030101010101" charset="-122"/>
              </a:rPr>
              <a:t>“三公”经费支出结构图</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tx>
            <c:strRef>
              <c:f>[决算图表模板.xls]“三公”经费财政拨款支出结构!$B$1</c:f>
              <c:strCache>
                <c:ptCount val="1"/>
                <c:pt idx="0">
                  <c:v>支出决算结构图</c:v>
                </c:pt>
              </c:strCache>
            </c:strRef>
          </c:tx>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[决算图表模板.xls]“三公”经费财政拨款支出结构!$A$2:$A$3</c:f>
              <c:strCache>
                <c:ptCount val="2"/>
                <c:pt idx="0">
                  <c:v>公务接待费</c:v>
                </c:pt>
                <c:pt idx="1">
                  <c:v>公务用车购置及运行维护费</c:v>
                </c:pt>
              </c:strCache>
            </c:strRef>
          </c:cat>
          <c:val>
            <c:numRef>
              <c:f>[决算图表模板.xls]“三公”经费财政拨款支出结构!$B$2:$B$3</c:f>
              <c:numCache>
                <c:formatCode>General</c:formatCode>
                <c:ptCount val="2"/>
                <c:pt idx="0">
                  <c:v>0.1</c:v>
                </c:pt>
                <c:pt idx="1">
                  <c:v>4.68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1538ad9-2b34-42fd-9441-e47423c47651}"/>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34</Pages>
  <Words>1334</Words>
  <Characters>7606</Characters>
  <Lines>63</Lines>
  <Paragraphs>17</Paragraphs>
  <TotalTime>0</TotalTime>
  <ScaleCrop>false</ScaleCrop>
  <LinksUpToDate>false</LinksUpToDate>
  <CharactersWithSpaces>8923</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2020-08-14T01:49:00Z</dcterms:created>
  <dc:creator>曹颖</dc:creator>
  <cp:lastModifiedBy>user</cp:lastModifiedBy>
  <cp:lastPrinted>2026-09-01T08:27:00Z</cp:lastPrinted>
  <dcterms:modified xsi:type="dcterms:W3CDTF">2026-09-11T17:29:37Z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9A273E61BABB062EB1F6906A563E0C79_43</vt:lpwstr>
  </property>
</Properties>
</file>